
<file path=[Content_Types].xml><?xml version="1.0" encoding="utf-8"?>
<Types xmlns="http://schemas.openxmlformats.org/package/2006/content-types">
  <Default Extension="xml" ContentType="application/xml"/>
  <Default Extension="jpg" ContentType="image/jpeg"/>
  <Default Extension="wmf" ContentType="image/x-wmf"/>
  <Default Extension="png" ContentType="image/png"/>
  <Default Extension="jpeg" ContentType="image/jpeg"/>
  <Default Extension="svg" ContentType="image/svg+xml"/>
  <Default Extension="rels" ContentType="application/vnd.openxmlformats-package.relationships+xml"/>
  <Default Extension="bin" ContentType="application/vnd.openxmlformats-officedocument.oleObject"/>
  <Override PartName="/word/footer6.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703"/>
        <w:pBdr/>
        <w:spacing/>
        <w:ind/>
        <w:rPr>
          <w:lang w:val="en-GB"/>
        </w:rPr>
      </w:pPr>
      <w:r>
        <w:rPr>
          <w:lang w:val="en-GB"/>
        </w:rPr>
        <w:t xml:space="preserve">Parallel information </w:t>
        <w:br/>
        <w:t xml:space="preserve">CEDAW 93rd Session (05-30  October 2026)</w:t>
      </w:r>
      <w:r>
        <w:rPr>
          <w:lang w:val="en-GB"/>
        </w:rPr>
      </w:r>
    </w:p>
    <w:p>
      <w:pPr>
        <w:pStyle w:val="1622"/>
        <w:pBdr/>
        <w:spacing/>
        <w:ind/>
        <w:rPr>
          <w:lang w:val="en-GB"/>
        </w:rPr>
      </w:pPr>
      <w:r>
        <w:rPr>
          <w:lang w:val="en-GB"/>
        </w:rPr>
      </w:r>
      <w:r>
        <w:rPr>
          <w:lang w:val="en-GB"/>
        </w:rPr>
      </w:r>
    </w:p>
    <w:p>
      <w:pPr>
        <w:pStyle w:val="1622"/>
        <w:pBdr/>
        <w:spacing/>
        <w:ind/>
        <w:rPr>
          <w:lang w:val="en-GB"/>
        </w:rPr>
      </w:pPr>
      <w:r>
        <w:rPr>
          <w:lang w:val="en-GB"/>
        </w:rPr>
      </w:r>
      <w:r>
        <w:rPr>
          <w:lang w:val="en-GB"/>
        </w:rPr>
      </w:r>
    </w:p>
    <w:p>
      <w:pPr>
        <w:pStyle w:val="1622"/>
        <w:pBdr/>
        <w:spacing/>
        <w:ind/>
        <w:rPr/>
      </w:pPr>
      <w:r>
        <w:rPr>
          <w:lang w:val="en-GB"/>
        </w:rPr>
        <w:t xml:space="preserve">Reference: Tenth periodic report of the Russian Federation</w:t>
        <w:br/>
        <w:t xml:space="preserve">on the implementation of the provisions of the Convention</w:t>
        <w:br/>
        <w:t xml:space="preserve">on the Elimination of All Forms of Discrimination against Women  (CEDAW/C/RUS/10, 15 December 2025))</w:t>
      </w:r>
      <w:r/>
    </w:p>
    <w:p>
      <w:pPr>
        <w:pStyle w:val="1622"/>
        <w:pBdr/>
        <w:spacing/>
        <w:ind/>
        <w:rPr/>
      </w:pPr>
      <w:r/>
      <w:r/>
    </w:p>
    <w:p>
      <w:pPr>
        <w:pStyle w:val="1703"/>
        <w:pBdr/>
        <w:spacing/>
        <w:ind/>
        <w:rPr/>
        <w:sectPr>
          <w:footerReference w:type="default" r:id="rId9"/>
          <w:footerReference w:type="even" r:id="rId10"/>
          <w:footerReference w:type="first" r:id="rId11"/>
          <w:footnotePr/>
          <w:endnotePr/>
          <w:type w:val="nextPage"/>
          <w:pgSz w:h="16838" w:orient="portrait" w:w="11906"/>
          <w:pgMar w:top="1134" w:right="1134" w:bottom="1693" w:left="1134" w:header="0" w:footer="1134" w:gutter="0"/>
          <w:pgNumType w:start="1"/>
          <w:cols w:num="1" w:sep="0" w:space="1701" w:equalWidth="1"/>
          <w:titlePg/>
        </w:sectPr>
      </w:pPr>
      <w:r>
        <w:t xml:space="preserve">The situation of women belonging to</w:t>
        <w:br/>
        <w:t xml:space="preserve">Indigenous minority peoples</w:t>
        <w:br/>
        <w:t xml:space="preserve">of the North, Siberia and the Far East</w:t>
        <w:br/>
        <w:t xml:space="preserve">of the Russian Federation</w:t>
      </w:r>
      <w:r>
        <w:br w:type="page" w:clear="all"/>
      </w:r>
      <w:r/>
    </w:p>
    <w:p>
      <w:pPr>
        <w:pStyle w:val="1622"/>
        <w:pBdr/>
        <w:spacing w:after="0" w:before="0"/>
        <w:ind/>
        <w:rPr/>
      </w:pPr>
      <w:r/>
      <w:r/>
    </w:p>
    <w:p>
      <w:pPr>
        <w:pStyle w:val="1622"/>
        <w:pBdr/>
        <w:spacing/>
        <w:ind/>
        <w:rPr>
          <w:b/>
          <w:bCs/>
        </w:rPr>
      </w:pPr>
      <w:r/>
      <w:bookmarkStart w:id="1" w:name="__RefHeading___Toc3434_4112689729"/>
      <w:r/>
      <w:bookmarkEnd w:id="1"/>
      <w:r>
        <w:rPr>
          <w:b/>
          <w:bCs/>
        </w:rPr>
        <w:t xml:space="preserve">Table of Contents</w:t>
      </w:r>
      <w:r>
        <w:rPr>
          <w:b/>
          <w:bCs/>
        </w:rPr>
      </w:r>
    </w:p>
    <w:p>
      <w:pPr>
        <w:pStyle w:val="1622"/>
        <w:pBdr/>
        <w:spacing/>
        <w:ind/>
        <w:rPr/>
      </w:pPr>
      <w:r>
        <w:t xml:space="preserve">    </w:t>
      </w:r>
      <w:r/>
    </w:p>
    <w:sdt>
      <w:sdtPr>
        <w15:appearance w15:val="boundingBox"/>
        <w:docPartObj>
          <w:docPartGallery w:val="Table of Contents"/>
          <w:docPartUnique w:val="true"/>
        </w:docPartObj>
        <w:rPr/>
      </w:sdtPr>
      <w:sdtContent>
        <w:p>
          <w:pPr>
            <w:pStyle w:val="1691"/>
            <w:pBdr/>
            <w:spacing/>
            <w:ind/>
            <w:rPr/>
          </w:pPr>
          <w:r>
            <w:fldChar w:fldCharType="begin"/>
          </w:r>
          <w:r>
            <w:rPr>
              <w:rStyle w:val="1660"/>
            </w:rPr>
            <w:instrText xml:space="preserve"> TOC \f \o "1-9" \h</w:instrText>
          </w:r>
          <w:r>
            <w:rPr>
              <w:rStyle w:val="1660"/>
            </w:rPr>
            <w:fldChar w:fldCharType="separate"/>
          </w:r>
          <w:r>
            <w:rPr>
              <w:rStyle w:val="1660"/>
            </w:rPr>
            <w:t xml:space="preserve">1 Submitting organisations</w:t>
          </w:r>
          <w:r>
            <w:tab/>
            <w:t xml:space="preserve">2</w:t>
          </w:r>
          <w:r/>
        </w:p>
        <w:p>
          <w:pPr>
            <w:pStyle w:val="1691"/>
            <w:pBdr/>
            <w:spacing/>
            <w:ind/>
            <w:rPr/>
          </w:pPr>
          <w:r>
            <w:t xml:space="preserve">2 Content and methodology</w:t>
            <w:tab/>
            <w:t xml:space="preserve">2</w:t>
          </w:r>
          <w:r/>
        </w:p>
        <w:p>
          <w:pPr>
            <w:pStyle w:val="1691"/>
            <w:pBdr/>
            <w:spacing/>
            <w:ind/>
            <w:rPr/>
          </w:pPr>
          <w:r>
            <w:t xml:space="preserve">3 Failure at implementing CEDAW’s prior recommendations</w:t>
            <w:tab/>
            <w:t xml:space="preserve">3</w:t>
          </w:r>
          <w:r/>
        </w:p>
        <w:p>
          <w:pPr>
            <w:pStyle w:val="1691"/>
            <w:pBdr/>
            <w:spacing/>
            <w:ind/>
            <w:rPr/>
          </w:pPr>
          <w:r>
            <w:t xml:space="preserve">4 Repression against Indigenous women, including human rights defenders (CEDAW/C/RUS/CO/9, paras. 18–19)</w:t>
            <w:tab/>
            <w:t xml:space="preserve">4</w:t>
          </w:r>
          <w:r/>
        </w:p>
        <w:p>
          <w:pPr>
            <w:pStyle w:val="1692"/>
            <w:pBdr/>
            <w:spacing/>
            <w:ind/>
            <w:rPr/>
          </w:pPr>
          <w:r>
            <w:t xml:space="preserve">4.1 Dismantling of the independent Indigenous human rights infrastructure</w:t>
            <w:tab/>
            <w:t xml:space="preserve">4</w:t>
          </w:r>
          <w:r/>
        </w:p>
        <w:p>
          <w:pPr>
            <w:pStyle w:val="1692"/>
            <w:pBdr/>
            <w:spacing/>
            <w:ind/>
            <w:rPr/>
          </w:pPr>
          <w:r>
            <w:t xml:space="preserve">4.2 Criminalisation through anti-extremist and anti-terrorism legislation</w:t>
            <w:tab/>
            <w:t xml:space="preserve">5</w:t>
          </w:r>
          <w:r/>
        </w:p>
        <w:p>
          <w:pPr>
            <w:pStyle w:val="1692"/>
            <w:pBdr/>
            <w:spacing/>
            <w:ind/>
            <w:rPr/>
          </w:pPr>
          <w:r>
            <w:t xml:space="preserve">4.3 The ‘Aborigen Forum’ case</w:t>
            <w:tab/>
            <w:t xml:space="preserve">6</w:t>
          </w:r>
          <w:r/>
        </w:p>
        <w:p>
          <w:pPr>
            <w:pStyle w:val="1691"/>
            <w:pBdr/>
            <w:spacing/>
            <w:ind/>
            <w:rPr/>
          </w:pPr>
          <w:r>
            <w:t xml:space="preserve">5 Armed conflict, women from Indigenous and minority communities and gender-based violence (CEDAW/C/RUS/CO/9, paras. 32–33)</w:t>
            <w:tab/>
            <w:t xml:space="preserve">7</w:t>
          </w:r>
          <w:r/>
        </w:p>
        <w:p>
          <w:pPr>
            <w:pStyle w:val="1692"/>
            <w:pBdr/>
            <w:spacing/>
            <w:ind/>
            <w:rPr/>
          </w:pPr>
          <w:r>
            <w:t xml:space="preserve">5.1 Exorbitant rates of mobilisation, coerced recruitment and killed-in-action amongst Indigenous peoples</w:t>
            <w:tab/>
            <w:t xml:space="preserve">7</w:t>
          </w:r>
          <w:r/>
        </w:p>
        <w:p>
          <w:pPr>
            <w:pStyle w:val="1692"/>
            <w:pBdr/>
            <w:spacing/>
            <w:ind/>
            <w:rPr/>
          </w:pPr>
          <w:r>
            <w:t xml:space="preserve">5.2 Impact on Indigenous women</w:t>
            <w:tab/>
            <w:t xml:space="preserve">9</w:t>
          </w:r>
          <w:r/>
        </w:p>
        <w:p>
          <w:pPr>
            <w:pStyle w:val="1691"/>
            <w:pBdr/>
            <w:spacing/>
            <w:ind/>
            <w:rPr/>
          </w:pPr>
          <w:r>
            <w:t xml:space="preserve">6 Participation in decision-making (CEDAW/C/RUS/CO/9, paras. 30–31)</w:t>
            <w:tab/>
            <w:t xml:space="preserve">10</w:t>
          </w:r>
          <w:r/>
        </w:p>
        <w:p>
          <w:pPr>
            <w:pStyle w:val="1691"/>
            <w:pBdr/>
            <w:spacing/>
            <w:ind/>
            <w:rPr/>
          </w:pPr>
          <w:r>
            <w:t xml:space="preserve">7 Climate, traditional lands, the extractive industries and FPIC (CEDAW/C/RUS/CO/9, paras. 54–55)</w:t>
            <w:tab/>
            <w:t xml:space="preserve">11</w:t>
          </w:r>
          <w:r/>
        </w:p>
        <w:p>
          <w:pPr>
            <w:pStyle w:val="1691"/>
            <w:pBdr/>
            <w:spacing/>
            <w:ind/>
            <w:rPr/>
          </w:pPr>
          <w:r>
            <w:t xml:space="preserve">8 Economic and social rights (CEDAW/C/RUS/CO/9, paras. 36–43)</w:t>
            <w:tab/>
            <w:t xml:space="preserve">12</w:t>
          </w:r>
          <w:r/>
        </w:p>
        <w:p>
          <w:pPr>
            <w:pStyle w:val="1691"/>
            <w:pBdr/>
            <w:spacing/>
            <w:ind/>
            <w:rPr/>
          </w:pPr>
          <w:r>
            <w:t xml:space="preserve">9 Register of persons belonging to Indigenous minority peoples (CEDAW/C/RUS/CO/9, paras. 44–45)</w:t>
            <w:tab/>
            <w:t xml:space="preserve">13</w:t>
          </w:r>
          <w:r/>
        </w:p>
        <w:p>
          <w:pPr>
            <w:pStyle w:val="1691"/>
            <w:pBdr/>
            <w:spacing/>
            <w:ind/>
            <w:rPr/>
          </w:pPr>
          <w:r>
            <w:t xml:space="preserve">10 Lack of disaggregated data (CEDAW/C/RUS/CO/9, para. 58)</w:t>
            <w:tab/>
            <w:t xml:space="preserve">14</w:t>
          </w:r>
          <w:r/>
        </w:p>
        <w:p>
          <w:pPr>
            <w:pStyle w:val="1691"/>
            <w:pBdr/>
            <w:spacing/>
            <w:ind/>
            <w:rPr/>
          </w:pPr>
          <w:r>
            <w:t xml:space="preserve">Proposed questions for the Government of the Russian Federation</w:t>
            <w:tab/>
            <w:t xml:space="preserve">15</w:t>
          </w:r>
          <w:r>
            <w:fldChar w:fldCharType="end"/>
          </w:r>
          <w:r/>
        </w:p>
      </w:sdtContent>
    </w:sdt>
    <w:p>
      <w:pPr>
        <w:pStyle w:val="1622"/>
        <w:pBdr/>
        <w:spacing/>
        <w:ind/>
        <w:rPr/>
      </w:pPr>
      <w:r/>
      <w:r>
        <w:br w:type="page" w:clear="all"/>
      </w:r>
      <w:r/>
    </w:p>
    <w:p>
      <w:pPr>
        <w:pStyle w:val="1622"/>
        <w:pBdr/>
        <w:spacing w:after="0" w:before="0"/>
        <w:ind/>
        <w:rPr/>
      </w:pPr>
      <w:r/>
      <w:r/>
    </w:p>
    <w:p>
      <w:pPr>
        <w:pStyle w:val="1623"/>
        <w:pBdr/>
        <w:spacing/>
        <w:ind/>
        <w:rPr>
          <w:lang w:val="en-GB"/>
        </w:rPr>
      </w:pPr>
      <w:r/>
      <w:bookmarkStart w:id="2" w:name="__RefHeading___Toc2857_4112689729"/>
      <w:r/>
      <w:bookmarkEnd w:id="2"/>
      <w:r>
        <w:rPr>
          <w:lang w:val="en-GB"/>
        </w:rPr>
        <w:t xml:space="preserve">Submitting organisations</w:t>
      </w:r>
      <w:r>
        <w:rPr>
          <w:lang w:val="en-GB"/>
        </w:rPr>
      </w:r>
    </w:p>
    <w:p>
      <w:pPr>
        <w:pStyle w:val="1672"/>
        <w:numPr>
          <w:ilvl w:val="0"/>
          <w:numId w:val="3"/>
        </w:numPr>
        <w:pBdr/>
        <w:spacing/>
        <w:ind/>
        <w:rPr/>
      </w:pPr>
      <w:r>
        <w:rPr>
          <w:lang w:val="en-GB"/>
        </w:rPr>
        <w:t xml:space="preserve">The International Committee of Indigenous Peoples of Russia (ICIPR)</w:t>
      </w:r>
      <w:r>
        <w:rPr>
          <w:rStyle w:val="1663"/>
          <w:lang w:val="en-GB"/>
        </w:rPr>
        <w:footnoteReference w:id="2"/>
      </w:r>
      <w:r>
        <w:rPr>
          <w:lang w:val="en-GB"/>
        </w:rPr>
        <w:t xml:space="preserve"> — an organisation of Indigenous peoples established in March 2022 by Indigenous activists in response to Russia’s full-scale invasion of Ukraine. The organisation works to defend the rights of Indigenous minority</w:t>
      </w:r>
      <w:r>
        <w:rPr>
          <w:rStyle w:val="1663"/>
          <w:lang w:val="en-GB"/>
        </w:rPr>
        <w:footnoteReference w:id="3"/>
      </w:r>
      <w:r>
        <w:rPr>
          <w:lang w:val="en-GB"/>
        </w:rPr>
        <w:t xml:space="preserve"> peoples of the Russian Arctic, Siberia and the Far East to land, territories, resources and self-determination.</w:t>
      </w:r>
      <w:r/>
    </w:p>
    <w:p>
      <w:pPr>
        <w:pStyle w:val="1672"/>
        <w:numPr>
          <w:ilvl w:val="0"/>
          <w:numId w:val="3"/>
        </w:numPr>
        <w:pBdr/>
        <w:spacing/>
        <w:ind/>
        <w:rPr/>
      </w:pPr>
      <w:r>
        <w:rPr>
          <w:lang w:val="en-GB"/>
        </w:rPr>
        <w:t xml:space="preserve">The Institute for Ecology and Action Ethnology (INFOE)</w:t>
      </w:r>
      <w:r>
        <w:rPr>
          <w:rStyle w:val="1663"/>
          <w:lang w:val="en-GB"/>
        </w:rPr>
        <w:footnoteReference w:id="4"/>
      </w:r>
      <w:r>
        <w:rPr>
          <w:lang w:val="en-GB"/>
        </w:rPr>
        <w:t xml:space="preserve"> — an NGO founded in January 1987 in Germany.  INFOE exists to support Indigenous peoples in defend their natural means of existence, their, rights and culture, whilst countering environmental and cultural destruction.</w:t>
      </w:r>
      <w:r/>
    </w:p>
    <w:p>
      <w:pPr>
        <w:pStyle w:val="1672"/>
        <w:numPr>
          <w:ilvl w:val="0"/>
          <w:numId w:val="3"/>
        </w:numPr>
        <w:pBdr/>
        <w:spacing/>
        <w:ind/>
        <w:rPr/>
      </w:pPr>
      <w:r>
        <w:rPr>
          <w:lang w:val="en-GB"/>
        </w:rPr>
        <w:t xml:space="preserve">Anti-Discrimination Centre Memorial  Brussels (ADC Memorial)</w:t>
      </w:r>
      <w:r>
        <w:rPr>
          <w:rStyle w:val="1663"/>
          <w:lang w:val="en-GB"/>
        </w:rPr>
        <w:footnoteReference w:id="5"/>
      </w:r>
      <w:r>
        <w:rPr>
          <w:lang w:val="en-GB"/>
        </w:rPr>
        <w:t xml:space="preserve"> — a human rights organisation, originally based in Russia</w:t>
      </w:r>
      <w:r>
        <w:rPr>
          <w:lang w:val="en-GB"/>
        </w:rPr>
        <w:t xml:space="preserve">, now exiled to Brussels, Belgium, which works to protect the rights of Indigenous peoples and minorities in Eastern Europe and Central Asia, addressing human rights violations through advocacy, legal aid, human rights education, research and publications.</w:t>
      </w:r>
      <w:r/>
    </w:p>
    <w:p>
      <w:pPr>
        <w:pStyle w:val="1672"/>
        <w:numPr>
          <w:ilvl w:val="0"/>
          <w:numId w:val="3"/>
        </w:numPr>
        <w:pBdr/>
        <w:spacing/>
        <w:ind/>
        <w:rPr>
          <w:lang w:val="en-GB"/>
        </w:rPr>
      </w:pPr>
      <w:r>
        <w:rPr>
          <w:lang w:val="en-GB"/>
        </w:rPr>
        <w:t xml:space="preserve">‘</w:t>
      </w:r>
      <w:r>
        <w:rPr>
          <w:lang w:val="en-GB"/>
        </w:rPr>
        <w:t xml:space="preserve">NorthWomen’ — an organization, wh</w:t>
      </w:r>
      <w:r>
        <w:rPr>
          <w:lang w:val="en-GB"/>
        </w:rPr>
        <w:t xml:space="preserve">ich works to protect and promote the rights of Indigenous women and girls of the North and to strengthen the role of Indigenous women as leaders and human rights defenders at the international level, in accordance with international human rights standards.</w:t>
      </w:r>
      <w:r>
        <w:rPr>
          <w:lang w:val="en-GB"/>
        </w:rPr>
      </w:r>
    </w:p>
    <w:p>
      <w:pPr>
        <w:pStyle w:val="1623"/>
        <w:pBdr/>
        <w:spacing/>
        <w:ind/>
        <w:rPr>
          <w:lang w:val="en-GB" w:eastAsia="zh-CN" w:bidi="hi-IN"/>
        </w:rPr>
      </w:pPr>
      <w:r/>
      <w:bookmarkStart w:id="3" w:name="__RefHeading___Toc2859_4112689729"/>
      <w:r/>
      <w:bookmarkEnd w:id="3"/>
      <w:r>
        <w:rPr>
          <w:lang w:val="en-GB" w:eastAsia="zh-CN" w:bidi="hi-IN"/>
        </w:rPr>
        <w:t xml:space="preserve">Content and methodology</w:t>
      </w:r>
      <w:r>
        <w:rPr>
          <w:lang w:val="en-GB" w:eastAsia="zh-CN" w:bidi="hi-IN"/>
        </w:rPr>
      </w:r>
    </w:p>
    <w:p>
      <w:pPr>
        <w:pStyle w:val="1672"/>
        <w:numPr>
          <w:ilvl w:val="0"/>
          <w:numId w:val="3"/>
        </w:numPr>
        <w:pBdr/>
        <w:spacing/>
        <w:ind/>
        <w:rPr/>
      </w:pPr>
      <w:r>
        <w:t xml:space="preserve">This report </w:t>
      </w:r>
      <w:r>
        <w:t xml:space="preserve">is submitted to CEDAW in connection with the adoption of the List of Issues regarding the tenth periodic report of the Russian Federation. It focuses on the situation of women belonging to Indigenous minority peoples of the North, Siberia and the Far East.</w:t>
      </w:r>
      <w:r/>
    </w:p>
    <w:p>
      <w:pPr>
        <w:pStyle w:val="1672"/>
        <w:numPr>
          <w:ilvl w:val="0"/>
          <w:numId w:val="3"/>
        </w:numPr>
        <w:pBdr/>
        <w:spacing/>
        <w:ind/>
        <w:rPr/>
      </w:pPr>
      <w:r/>
      <w:bookmarkStart w:id="4" w:name="_Ref1"/>
      <w:r>
        <w:rPr>
          <w:lang w:val="en-GB" w:eastAsia="zh-CN" w:bidi="hi-IN"/>
        </w:rPr>
        <w:t xml:space="preserve">These peoples are defined by Russian legislation as “peoples living within the </w:t>
      </w:r>
      <w:r>
        <w:rPr>
          <w:lang w:val="en-GB" w:eastAsia="zh-CN" w:bidi="hi-IN"/>
        </w:rPr>
        <w:t xml:space="preserve">territories of traditional settlement of their ancestors, preserving their traditional way of life, economic activities and livelihoods, numbering fewer than 50,000 people in the Russian Federation and identifying themselves as distinct ethnic communities”</w:t>
      </w:r>
      <w:r>
        <w:rPr>
          <w:rStyle w:val="1663"/>
          <w:lang w:val="en-GB" w:eastAsia="zh-CN" w:bidi="hi-IN"/>
        </w:rPr>
        <w:footnoteReference w:id="6"/>
      </w:r>
      <w:r>
        <w:rPr>
          <w:lang w:val="en-GB" w:eastAsia="zh-CN" w:bidi="hi-IN"/>
        </w:rPr>
        <w:t xml:space="preserve"> Russian legislation does not recognise Indigenous peoples as such, that is, without numeric and other qualifiers. A list adopted originally in March 2000 de facto determines whom the State party recognises as such.</w:t>
      </w:r>
      <w:r>
        <w:rPr>
          <w:rStyle w:val="1663"/>
          <w:lang w:val="en-GB" w:eastAsia="zh-CN" w:bidi="hi-IN"/>
        </w:rPr>
        <w:footnoteReference w:id="7"/>
      </w:r>
      <w:r>
        <w:rPr>
          <w:lang w:val="en-GB" w:eastAsia="zh-CN" w:bidi="hi-IN"/>
        </w:rPr>
        <w:t xml:space="preserve"> Government furthermore adopted lists of traditional settlement territories and of traditional economic activities, which further narrow down eligibility.</w:t>
      </w:r>
      <w:r>
        <w:rPr>
          <w:rStyle w:val="1663"/>
          <w:lang w:val="en-GB" w:eastAsia="zh-CN" w:bidi="hi-IN"/>
        </w:rPr>
        <w:footnoteReference w:id="8"/>
      </w:r>
      <w:r>
        <w:rPr>
          <w:lang w:val="en-GB" w:eastAsia="zh-CN" w:bidi="hi-IN"/>
        </w:rPr>
        <w:t xml:space="preserve"> The present submission uses the terms “Indigenous peoples” and  “Indigenous Minority P</w:t>
      </w:r>
      <w:r>
        <w:rPr>
          <w:lang w:val="en-GB" w:eastAsia="zh-CN" w:bidi="hi-IN"/>
        </w:rPr>
        <w:t xml:space="preserve">eoples of the North, Siberia and the Far East of the Russian Federation” interchangeably. This use is purely for ease of reading and thus without prejudice. It is not meant to deny self-identification as indigenous by peoples not matching these qualifiers.</w:t>
      </w:r>
      <w:bookmarkEnd w:id="4"/>
      <w:r/>
      <w:r/>
    </w:p>
    <w:p>
      <w:pPr>
        <w:pStyle w:val="1672"/>
        <w:numPr>
          <w:ilvl w:val="0"/>
          <w:numId w:val="3"/>
        </w:numPr>
        <w:pBdr/>
        <w:spacing/>
        <w:ind/>
        <w:rPr/>
      </w:pPr>
      <w:r>
        <w:t xml:space="preserve">Since the consideration of the Staty party’s ninth periodic report in November 2021 (CEDAW/C/RUS/CO/9), the situation of indigenous wo</w:t>
      </w:r>
      <w:r>
        <w:t xml:space="preserve">men has deteriorated dramatically. The 2021 Concluding Observations highlighted structural problems, such as restrictions on the activities of non-governmental organisations and pressure on female human rights defenders and environmental activists, the fai</w:t>
      </w:r>
      <w:r>
        <w:t xml:space="preserve">lure to realise collective land rights, and a lack of disaggregated statistical data on women. However, following the start of Russia’s full-scale invasion of Ukraine in February 2022, these issues have escalated into a systematic campaign of criminal pros</w:t>
      </w:r>
      <w:r>
        <w:t xml:space="preserve">ecution against leaders of Indigenous communities, the exacerbation of gender inequality due to the disproportionate mobilisation and recruitment  of indigenous men  and the dismantling of what remained of independent representation for Indigenous peoples.</w:t>
      </w:r>
      <w:r/>
    </w:p>
    <w:p>
      <w:pPr>
        <w:pStyle w:val="1672"/>
        <w:numPr>
          <w:ilvl w:val="0"/>
          <w:numId w:val="3"/>
        </w:numPr>
        <w:pBdr/>
        <w:spacing/>
        <w:ind/>
        <w:rPr>
          <w:lang w:val="en-GB" w:eastAsia="zh-CN" w:bidi="hi-IN"/>
        </w:rPr>
      </w:pPr>
      <w:r>
        <w:rPr>
          <w:lang w:val="en-GB" w:eastAsia="zh-CN" w:bidi="hi-IN"/>
        </w:rPr>
        <w:t xml:space="preserve">Information in the present submission is mostly derived from publicly available sources, including court documents, reports by independent Russian and int</w:t>
      </w:r>
      <w:r>
        <w:rPr>
          <w:lang w:val="en-GB" w:eastAsia="zh-CN" w:bidi="hi-IN"/>
        </w:rPr>
        <w:t xml:space="preserve">ernational media, reports by human rights organisations, as well as government sources, such as statistics from Rosstat. It also uses information received directly from victims and other private contacts, who due to considerable risk must remain anonymous.</w:t>
      </w:r>
      <w:r>
        <w:rPr>
          <w:lang w:val="en-GB" w:eastAsia="zh-CN" w:bidi="hi-IN"/>
        </w:rPr>
      </w:r>
    </w:p>
    <w:p>
      <w:pPr>
        <w:pStyle w:val="1672"/>
        <w:numPr>
          <w:ilvl w:val="0"/>
          <w:numId w:val="3"/>
        </w:numPr>
        <w:pBdr/>
        <w:spacing/>
        <w:ind/>
        <w:rPr/>
      </w:pPr>
      <w:r>
        <w:t xml:space="preserve">The picture of violations presented in this submission is almost certainly vastly incomplete, firstly, because the State party fails to live up to its obligation to compile and publish disaggregated data (see section </w:t>
      </w:r>
      <w:r>
        <w:fldChar w:fldCharType="begin"/>
      </w:r>
      <w:r>
        <w:instrText xml:space="preserve"> REF __RefHeading___Toc3713_3926297173 \r \r \h </w:instrText>
      </w:r>
      <w:r>
        <w:fldChar w:fldCharType="separate"/>
      </w:r>
      <w:r>
        <w:t xml:space="preserve">10</w:t>
      </w:r>
      <w:r>
        <w:fldChar w:fldCharType="end"/>
      </w:r>
      <w:r>
        <w:t xml:space="preserve">), and secondly, because victims often fail to speak out for fear of harassment and persecution or are are being silenced by various censorship mechanisms.</w:t>
      </w:r>
      <w:r/>
    </w:p>
    <w:p>
      <w:pPr>
        <w:pStyle w:val="1623"/>
        <w:pBdr/>
        <w:spacing/>
        <w:ind/>
        <w:rPr/>
      </w:pPr>
      <w:r/>
      <w:bookmarkStart w:id="5" w:name="__RefHeading___Toc2861_4112689729"/>
      <w:r/>
      <w:bookmarkEnd w:id="5"/>
      <w:r>
        <w:rPr>
          <w:lang w:val="en-GB" w:eastAsia="zh-CN" w:bidi="hi-IN"/>
        </w:rPr>
        <w:t xml:space="preserve">Failure at implementing CEDAW’s prior recommendations</w:t>
      </w:r>
      <w:r/>
    </w:p>
    <w:p>
      <w:pPr>
        <w:pStyle w:val="1672"/>
        <w:numPr>
          <w:ilvl w:val="0"/>
          <w:numId w:val="3"/>
        </w:numPr>
        <w:pBdr/>
        <w:spacing/>
        <w:ind/>
        <w:rPr/>
      </w:pPr>
      <w:r>
        <w:t xml:space="preserve">In its Concluding Observations regarding the ninth periodic report of the Russian Federation (CEDAW/C/RUS/CO/9, 30 November 2021), CEDAW </w:t>
      </w:r>
      <w:r>
        <w:br w:type="textWrapping" w:clear="all"/>
      </w:r>
      <w:r>
        <w:t xml:space="preserve">- </w:t>
      </w:r>
      <w:r>
        <w:rPr>
          <w:lang w:val="en-GB" w:eastAsia="zh-CN" w:bidi="hi-IN"/>
        </w:rPr>
        <w:t xml:space="preserve">expressed concern at reports of persecution, threats and attacks ag</w:t>
      </w:r>
      <w:r>
        <w:rPr>
          <w:lang w:val="en-GB" w:eastAsia="zh-CN" w:bidi="hi-IN"/>
        </w:rPr>
        <w:t xml:space="preserve">ainst female human rights defenders and environmental activists their rights to freedom of expression, peaceful assembly and association, refrain from any reprisals against them, and ensure they have effective access to justice and protection from persecut</w:t>
      </w:r>
      <w:r>
        <w:rPr>
          <w:lang w:val="en-GB" w:eastAsia="zh-CN" w:bidi="hi-IN"/>
        </w:rPr>
        <w:t xml:space="preserve">ion, intimidation, reprisals and violence (para. 19); </w:t>
        <w:br/>
        <w:t xml:space="preserve">- took note of the adoption of Federal Law No. 11-FZ (2020), establishing a unified register of persons belonging to Indigenous minority peoples, but expressed concern at the lack of detailed informati</w:t>
      </w:r>
      <w:r>
        <w:rPr>
          <w:lang w:val="en-GB" w:eastAsia="zh-CN" w:bidi="hi-IN"/>
        </w:rPr>
        <w:t xml:space="preserve">on on the registration procedure and on the number of registered women from Indigenous minority peoples, which is necessary for access to traditional lands, means of subsistence and participation in decision-making (para. 44), recommending that the registr</w:t>
      </w:r>
      <w:r>
        <w:rPr>
          <w:lang w:val="en-GB" w:eastAsia="zh-CN" w:bidi="hi-IN"/>
        </w:rPr>
        <w:t xml:space="preserve">ation of women and girls from Indigenous minority peoples be facilitated and that the collective rights of women from these peoples to traditional lands and resources, as well as to effective participation in decision-making bodies and processes at local, </w:t>
      </w:r>
      <w:r>
        <w:rPr>
          <w:lang w:val="en-GB" w:eastAsia="zh-CN" w:bidi="hi-IN"/>
        </w:rPr>
        <w:t xml:space="preserve">regional and federal levels, be guaranteed and protected (para. 45); </w:t>
        <w:br/>
        <w:t xml:space="preserve">- noted the absence of a gender perspective in climate change and disaster risk reduction policies and action plans, particularly with regard to rural and Indigenous women, despite their</w:t>
      </w:r>
      <w:r>
        <w:rPr>
          <w:lang w:val="en-GB" w:eastAsia="zh-CN" w:bidi="hi-IN"/>
        </w:rPr>
        <w:t xml:space="preserve"> disproportionate vulnerability to the impacts of climate change (para. 54), recommending that climate and energy policies be reviewed, taking into account the adverse impacts of climate change on the livelihoods of such women (para. 55);</w:t>
        <w:br/>
        <w:t xml:space="preserve">- expressed conce</w:t>
      </w:r>
      <w:r>
        <w:rPr>
          <w:lang w:val="en-GB" w:eastAsia="zh-CN" w:bidi="hi-IN"/>
        </w:rPr>
        <w:t xml:space="preserve">rn at the lack of statistical data disaggregated by sex, age, ethnicity, disability, geographical location and socio-economic status, which are necessary to assess the situation of women, including women from Indigenous and minority communities (para. 58).</w:t>
      </w:r>
      <w:r/>
    </w:p>
    <w:p>
      <w:pPr>
        <w:pStyle w:val="1672"/>
        <w:numPr>
          <w:ilvl w:val="0"/>
          <w:numId w:val="3"/>
        </w:numPr>
        <w:pBdr/>
        <w:spacing/>
        <w:ind/>
        <w:rPr/>
      </w:pPr>
      <w:r>
        <w:t xml:space="preserve">The Russian Federation responded only in relation to the establishment of a unified register of Indigenous minority peoples (see section </w:t>
      </w:r>
      <w:r>
        <w:fldChar w:fldCharType="begin"/>
      </w:r>
      <w:r>
        <w:instrText xml:space="preserve"> REF __RefHeading___Toc3803_3926297173 \r \r \h </w:instrText>
      </w:r>
      <w:r>
        <w:fldChar w:fldCharType="separate"/>
      </w:r>
      <w:r>
        <w:t xml:space="preserve">9</w:t>
      </w:r>
      <w:r>
        <w:fldChar w:fldCharType="end"/>
      </w:r>
      <w:r>
        <w:t xml:space="preserve">), wh</w:t>
      </w:r>
      <w:r>
        <w:t xml:space="preserve">ile ignoring issues concerning the protection of female human rights defenders and activists, access to traditional lands by Indigenous women and their participation in decision-making, a gender-sensitive approach to climate policy, and disaggregated data.</w:t>
      </w:r>
      <w:r/>
    </w:p>
    <w:p>
      <w:pPr>
        <w:pStyle w:val="1672"/>
        <w:numPr>
          <w:ilvl w:val="0"/>
          <w:numId w:val="3"/>
        </w:numPr>
        <w:pBdr/>
        <w:spacing/>
        <w:ind/>
        <w:rPr/>
      </w:pPr>
      <w:r>
        <w:t xml:space="preserve">Thus, none of the Committee’s 2021 recommendations concerning women from Indigenous minority peoples have been implemented. Moreover, as will be shown below, their situation  has not merely failed to improve, but has deteriorated sharply.</w:t>
      </w:r>
      <w:r/>
    </w:p>
    <w:p>
      <w:pPr>
        <w:pStyle w:val="1623"/>
        <w:pBdr/>
        <w:spacing/>
        <w:ind/>
        <w:rPr>
          <w:lang w:val="en-GB" w:eastAsia="zh-CN" w:bidi="hi-IN"/>
        </w:rPr>
      </w:pPr>
      <w:r/>
      <w:bookmarkStart w:id="6" w:name="__RefHeading___Toc39851_607661269"/>
      <w:r/>
      <w:bookmarkEnd w:id="6"/>
      <w:r>
        <w:rPr>
          <w:lang w:val="en-GB" w:eastAsia="zh-CN" w:bidi="hi-IN"/>
        </w:rPr>
        <w:t xml:space="preserve">Repression against Indigenous women, including human rights defenders (</w:t>
      </w:r>
      <w:r>
        <w:t xml:space="preserve">CEDAW/C/RUS/CO/9</w:t>
      </w:r>
      <w:r>
        <w:rPr>
          <w:lang w:val="en-GB" w:eastAsia="zh-CN" w:bidi="hi-IN"/>
        </w:rPr>
        <w:t xml:space="preserve">, paras. 18–19)</w:t>
      </w:r>
      <w:r>
        <w:rPr>
          <w:lang w:val="en-GB" w:eastAsia="zh-CN" w:bidi="hi-IN"/>
        </w:rPr>
      </w:r>
    </w:p>
    <w:p>
      <w:pPr>
        <w:pStyle w:val="1624"/>
        <w:pBdr/>
        <w:spacing/>
        <w:ind w:firstLine="0" w:left="0"/>
        <w:rPr/>
      </w:pPr>
      <w:r/>
      <w:bookmarkStart w:id="7" w:name="__RefHeading___Toc1762_3067546167"/>
      <w:r/>
      <w:bookmarkEnd w:id="7"/>
      <w:r>
        <w:rPr>
          <w:lang w:val="en-GB" w:eastAsia="zh-CN" w:bidi="hi-IN"/>
        </w:rPr>
        <w:t xml:space="preserve">Dismantling of the independent Indigenous human rights infrastructure</w:t>
      </w:r>
      <w:r/>
    </w:p>
    <w:p>
      <w:pPr>
        <w:pStyle w:val="1672"/>
        <w:numPr>
          <w:ilvl w:val="0"/>
          <w:numId w:val="3"/>
        </w:numPr>
        <w:pBdr/>
        <w:spacing/>
        <w:ind/>
        <w:rPr/>
      </w:pPr>
      <w:r/>
      <w:bookmarkStart w:id="8" w:name="__RefNumPara__4858_3926297173"/>
      <w:r/>
      <w:bookmarkEnd w:id="8"/>
      <w:r>
        <w:rPr>
          <w:lang w:val="en-GB" w:eastAsia="zh-CN" w:bidi="hi-IN"/>
        </w:rPr>
        <w:t xml:space="preserve">Since the early 2010s, Russian authorities have worked to suppress Indigenous pe</w:t>
      </w:r>
      <w:r>
        <w:rPr>
          <w:lang w:val="en-GB" w:eastAsia="zh-CN" w:bidi="hi-IN"/>
        </w:rPr>
        <w:t xml:space="preserve">oples’ collective agency. In 2013, full state control was imposed over the Association of Indigenous Small-Numbered Peoples of the North, Siberia and the Far East or ‘RAIPON’, the largest all-Russian indigenous association. In 2024, an investigation reveal</w:t>
      </w:r>
      <w:r>
        <w:rPr>
          <w:lang w:val="en-GB" w:eastAsia="zh-CN" w:bidi="hi-IN"/>
        </w:rPr>
        <w:t xml:space="preserve">ed that RAIPON is mainly funded by a charitable foundation, whose donors include Norilsk Nickel, Lukoil and other extractive businesses, and, consequently,  one of its main lines of activity is advocating the lifting of  sanctions against Russian companies</w:t>
      </w:r>
      <w:r>
        <w:rPr>
          <w:rStyle w:val="1663"/>
          <w:lang w:val="en-GB" w:eastAsia="zh-CN" w:bidi="hi-IN"/>
        </w:rPr>
        <w:footnoteReference w:id="9"/>
      </w:r>
      <w:r>
        <w:rPr>
          <w:lang w:val="en-GB" w:eastAsia="zh-CN" w:bidi="hi-IN"/>
        </w:rPr>
        <w:t xml:space="preserve">,</w:t>
      </w:r>
      <w:r>
        <w:rPr>
          <w:rStyle w:val="1663"/>
          <w:lang w:val="en-GB" w:eastAsia="zh-CN" w:bidi="hi-IN"/>
        </w:rPr>
        <w:footnoteReference w:id="10"/>
      </w:r>
      <w:r>
        <w:rPr>
          <w:lang w:val="en-GB" w:eastAsia="zh-CN" w:bidi="hi-IN"/>
        </w:rPr>
        <w:t xml:space="preserve">.</w:t>
      </w:r>
      <w:r/>
    </w:p>
    <w:p>
      <w:pPr>
        <w:pStyle w:val="1672"/>
        <w:numPr>
          <w:ilvl w:val="0"/>
          <w:numId w:val="3"/>
        </w:numPr>
        <w:pBdr/>
        <w:spacing/>
        <w:ind/>
        <w:rPr/>
      </w:pPr>
      <w:r/>
      <w:bookmarkStart w:id="9" w:name="__RefNumPara__3432_607661269"/>
      <w:r/>
      <w:bookmarkEnd w:id="9"/>
      <w:r>
        <w:rPr>
          <w:lang w:val="en-GB" w:eastAsia="zh-CN" w:bidi="hi-IN"/>
        </w:rPr>
        <w:t xml:space="preserve">To date, all independent organisations have been terminated or driven into exile. This process started with the legislation on ‘fo</w:t>
      </w:r>
      <w:r>
        <w:rPr>
          <w:lang w:val="en-GB" w:eastAsia="zh-CN" w:bidi="hi-IN"/>
        </w:rPr>
        <w:t xml:space="preserve">reign agents’ adopted in 2013 to curb country-wide protests against rigged elections. The Centre for the Support of Indigenous minority Peoples of the North (CSIPN), a both highly respected Indigenous rights watchdog, was designated ‘foreign agent’ in 2015</w:t>
      </w:r>
      <w:r>
        <w:rPr>
          <w:rStyle w:val="1663"/>
          <w:lang w:val="en-GB" w:eastAsia="zh-CN" w:bidi="hi-IN"/>
        </w:rPr>
        <w:footnoteReference w:id="11"/>
      </w:r>
      <w:r>
        <w:rPr>
          <w:lang w:val="en-GB" w:eastAsia="zh-CN" w:bidi="hi-IN"/>
        </w:rPr>
        <w:t xml:space="preserve"> and terminated by court order in 2019</w:t>
      </w:r>
      <w:r>
        <w:rPr>
          <w:rStyle w:val="1663"/>
          <w:lang w:val="en-GB" w:eastAsia="zh-CN" w:bidi="hi-IN"/>
        </w:rPr>
        <w:footnoteReference w:id="12"/>
      </w:r>
      <w:r>
        <w:rPr>
          <w:lang w:val="en-GB" w:eastAsia="zh-CN" w:bidi="hi-IN"/>
        </w:rPr>
        <w:t xml:space="preserve"> . The International Fund for the Development and Solidarity of Indigenous Peoples ‘Batani’ was designated ‘foreign agent’ in 2016</w:t>
      </w:r>
      <w:r>
        <w:rPr>
          <w:rStyle w:val="1663"/>
          <w:lang w:val="en-GB" w:eastAsia="zh-CN" w:bidi="hi-IN"/>
        </w:rPr>
        <w:footnoteReference w:id="13"/>
      </w:r>
      <w:r>
        <w:rPr>
          <w:lang w:val="en-GB" w:eastAsia="zh-CN" w:bidi="hi-IN"/>
        </w:rPr>
        <w:t xml:space="preserve">  and terminated in 2017</w:t>
      </w:r>
      <w:r>
        <w:rPr>
          <w:rStyle w:val="1663"/>
          <w:lang w:val="en-GB" w:eastAsia="zh-CN" w:bidi="hi-IN"/>
        </w:rPr>
        <w:footnoteReference w:id="14"/>
      </w:r>
      <w:r>
        <w:rPr>
          <w:lang w:val="en-GB" w:eastAsia="zh-CN" w:bidi="hi-IN"/>
        </w:rPr>
        <w:t xml:space="preserve">, the regional association of the Tubalar people of Altai Republic “Tuba Karlyk” was likewise designated ‘foreign agent’, along with environmental media who covered Indigenous issues in their reporting such as ‘Kedr.Media’ </w:t>
      </w:r>
      <w:r>
        <w:rPr>
          <w:rStyle w:val="1663"/>
          <w:lang w:val="en-GB" w:eastAsia="zh-CN" w:bidi="hi-IN"/>
        </w:rPr>
        <w:footnoteReference w:id="15"/>
      </w:r>
      <w:r>
        <w:rPr>
          <w:lang w:val="en-GB" w:eastAsia="zh-CN" w:bidi="hi-IN"/>
        </w:rPr>
        <w:t xml:space="preserve"> and ‘Smola’</w:t>
      </w:r>
      <w:r>
        <w:rPr>
          <w:rStyle w:val="1663"/>
          <w:lang w:val="en-GB" w:eastAsia="zh-CN" w:bidi="hi-IN"/>
        </w:rPr>
        <w:footnoteReference w:id="16"/>
      </w:r>
      <w:r>
        <w:rPr>
          <w:lang w:val="en-GB" w:eastAsia="zh-CN" w:bidi="hi-IN"/>
        </w:rPr>
        <w:t xml:space="preserve">. Since 2012, 38 environmental organisations were declared foreign agents’, of which 36 had ceased operations by mid-2026</w:t>
      </w:r>
      <w:r>
        <w:rPr>
          <w:rStyle w:val="1663"/>
          <w:lang w:val="en-GB" w:eastAsia="zh-CN" w:bidi="hi-IN"/>
        </w:rPr>
        <w:footnoteReference w:id="17"/>
      </w:r>
      <w:r>
        <w:rPr>
          <w:lang w:val="en-GB" w:eastAsia="zh-CN" w:bidi="hi-IN"/>
        </w:rPr>
        <w:t xml:space="preserve">. In July 2022, the website ‘Indigenous Russia’, the only independent resource systematically covering the situation of Indigenous peoples was blocked.</w:t>
      </w:r>
      <w:r>
        <w:rPr>
          <w:rStyle w:val="1663"/>
          <w:lang w:val="en-GB" w:eastAsia="zh-CN" w:bidi="hi-IN"/>
        </w:rPr>
        <w:footnoteReference w:id="18"/>
      </w:r>
      <w:r/>
    </w:p>
    <w:p>
      <w:pPr>
        <w:pStyle w:val="1672"/>
        <w:numPr>
          <w:ilvl w:val="0"/>
          <w:numId w:val="3"/>
        </w:numPr>
        <w:pBdr/>
        <w:spacing/>
        <w:ind/>
        <w:rPr>
          <w:lang w:val="en-GB" w:eastAsia="zh-CN" w:bidi="hi-IN"/>
        </w:rPr>
      </w:pPr>
      <w:r>
        <w:rPr>
          <w:lang w:val="en-GB" w:eastAsia="zh-CN" w:bidi="hi-IN"/>
        </w:rPr>
        <w:t xml:space="preserve">The State party has </w:t>
      </w:r>
      <w:r>
        <w:rPr>
          <w:lang w:val="en-GB" w:eastAsia="zh-CN" w:bidi="hi-IN"/>
        </w:rPr>
        <w:t xml:space="preserve">developed a habit of </w:t>
      </w:r>
      <w:r>
        <w:rPr>
          <w:lang w:val="en-GB" w:eastAsia="zh-CN" w:bidi="hi-IN"/>
        </w:rPr>
        <w:t xml:space="preserve">harass</w:t>
      </w:r>
      <w:r>
        <w:rPr>
          <w:lang w:val="en-GB" w:eastAsia="zh-CN" w:bidi="hi-IN"/>
        </w:rPr>
        <w:t xml:space="preserve">ing</w:t>
      </w:r>
      <w:r>
        <w:rPr>
          <w:lang w:val="en-GB" w:eastAsia="zh-CN" w:bidi="hi-IN"/>
        </w:rPr>
        <w:t xml:space="preserve"> female indigenous activists at UN bodies, as documented by the annual reports on reprisals as well as addressed by Special mechanisms. This includes the case of Y.T. who in her home territory </w:t>
      </w:r>
      <w:r>
        <w:rPr>
          <w:lang w:val="en-GB" w:eastAsia="zh-CN" w:bidi="hi-IN"/>
        </w:rPr>
        <w:t xml:space="preserve">had </w:t>
      </w:r>
      <w:r>
        <w:rPr>
          <w:lang w:val="en-GB" w:eastAsia="zh-CN" w:bidi="hi-IN"/>
        </w:rPr>
        <w:t xml:space="preserve">opposed the destruction of her people’s natural basis of life by large scale strip mining and was </w:t>
      </w:r>
      <w:r>
        <w:rPr>
          <w:lang w:val="en-GB" w:eastAsia="zh-CN" w:bidi="hi-IN"/>
        </w:rPr>
        <w:t xml:space="preserve">therefore </w:t>
      </w:r>
      <w:r>
        <w:rPr>
          <w:lang w:val="en-GB" w:eastAsia="zh-CN" w:bidi="hi-IN"/>
        </w:rPr>
        <w:t xml:space="preserve">forced into exile, at which point the harassment continued at multiple occasions when she attended UN bodies such as EMRIP.</w:t>
      </w:r>
      <w:r>
        <w:rPr>
          <w:rStyle w:val="1663"/>
          <w:lang w:val="en-GB" w:eastAsia="zh-CN" w:bidi="hi-IN"/>
        </w:rPr>
        <w:footnoteReference w:id="19"/>
      </w:r>
      <w:r>
        <w:rPr>
          <w:lang w:val="en-GB" w:eastAsia="zh-CN" w:bidi="hi-IN"/>
        </w:rPr>
      </w:r>
    </w:p>
    <w:p>
      <w:pPr>
        <w:pStyle w:val="1672"/>
        <w:numPr>
          <w:ilvl w:val="0"/>
          <w:numId w:val="3"/>
        </w:numPr>
        <w:pBdr/>
        <w:spacing/>
        <w:ind/>
        <w:rPr/>
      </w:pPr>
      <w:r>
        <w:rPr>
          <w:lang w:val="en-GB" w:eastAsia="zh-CN" w:bidi="hi-IN"/>
        </w:rPr>
        <w:t xml:space="preserve">From 2023 onwards, there was a surge in designation of international allies as ‘undesirable organisations’, including ‘Bellona’ (Norway)</w:t>
      </w:r>
      <w:r>
        <w:rPr>
          <w:rStyle w:val="1663"/>
          <w:lang w:val="en-GB" w:eastAsia="zh-CN" w:bidi="hi-IN"/>
        </w:rPr>
        <w:footnoteReference w:id="20"/>
      </w:r>
      <w:r>
        <w:rPr>
          <w:lang w:val="en-GB" w:eastAsia="zh-CN" w:bidi="hi-IN"/>
        </w:rPr>
        <w:t xml:space="preserve">, Greenpeace International</w:t>
      </w:r>
      <w:r>
        <w:rPr>
          <w:rStyle w:val="1663"/>
          <w:lang w:val="en-GB" w:eastAsia="zh-CN" w:bidi="hi-IN"/>
        </w:rPr>
        <w:footnoteReference w:id="21"/>
      </w:r>
      <w:r>
        <w:rPr>
          <w:lang w:val="en-GB" w:eastAsia="zh-CN" w:bidi="hi-IN"/>
        </w:rPr>
        <w:t xml:space="preserve"> , the WWF</w:t>
      </w:r>
      <w:r>
        <w:rPr>
          <w:rStyle w:val="1663"/>
          <w:lang w:val="en-GB" w:eastAsia="zh-CN" w:bidi="hi-IN"/>
        </w:rPr>
        <w:footnoteReference w:id="22"/>
      </w:r>
      <w:r>
        <w:rPr>
          <w:lang w:val="en-GB" w:eastAsia="zh-CN" w:bidi="hi-IN"/>
        </w:rPr>
        <w:t xml:space="preserve"> , the Estonia-based Centre for the Development of Indigenous Peoples ‘URALIC’</w:t>
      </w:r>
      <w:r>
        <w:rPr>
          <w:rStyle w:val="1663"/>
          <w:lang w:val="en-GB" w:eastAsia="zh-CN" w:bidi="hi-IN"/>
        </w:rPr>
        <w:footnoteReference w:id="23"/>
      </w:r>
      <w:r>
        <w:rPr>
          <w:lang w:val="en-GB" w:eastAsia="zh-CN" w:bidi="hi-IN"/>
        </w:rPr>
        <w:t xml:space="preserve"> ). In May 2025, the US-registered ‘Batani’ Foundation</w:t>
      </w:r>
      <w:r>
        <w:rPr>
          <w:rStyle w:val="1663"/>
          <w:lang w:val="en-GB" w:eastAsia="zh-CN" w:bidi="hi-IN"/>
        </w:rPr>
        <w:footnoteReference w:id="24"/>
      </w:r>
      <w:r>
        <w:rPr>
          <w:lang w:val="en-GB" w:eastAsia="zh-CN" w:bidi="hi-IN"/>
        </w:rPr>
        <w:t xml:space="preserve">, which continued the work of its Russia-based predecessor.</w:t>
      </w:r>
      <w:r/>
    </w:p>
    <w:p>
      <w:pPr>
        <w:pStyle w:val="1624"/>
        <w:pBdr/>
        <w:spacing/>
        <w:ind w:firstLine="0" w:left="0"/>
        <w:rPr/>
      </w:pPr>
      <w:r/>
      <w:bookmarkStart w:id="10" w:name="__RefHeading___Toc1764_3067546167"/>
      <w:r/>
      <w:bookmarkEnd w:id="10"/>
      <w:r>
        <w:rPr>
          <w:lang w:val="en-GB" w:eastAsia="zh-CN" w:bidi="hi-IN"/>
        </w:rPr>
        <w:t xml:space="preserve">Criminalisation through anti-extremist and anti-terrorism legislation</w:t>
      </w:r>
      <w:r/>
    </w:p>
    <w:p>
      <w:pPr>
        <w:pStyle w:val="1672"/>
        <w:numPr>
          <w:ilvl w:val="0"/>
          <w:numId w:val="3"/>
        </w:numPr>
        <w:pBdr/>
        <w:spacing/>
        <w:ind/>
        <w:rPr/>
      </w:pPr>
      <w:r/>
      <w:bookmarkStart w:id="11" w:name="__RefNumPara__6720_607661269"/>
      <w:r/>
      <w:bookmarkEnd w:id="11"/>
      <w:r>
        <w:rPr>
          <w:lang w:val="en-GB" w:eastAsia="zh-CN" w:bidi="hi-IN"/>
        </w:rPr>
        <w:t xml:space="preserve">In 2024, criminalisation of Indigenous rights activism became comprehensive. In June, the Supreme Court ruled a non-existent organisation it called ‘Anti-Russian Separatist Movement’ to be ‘extremist’</w:t>
      </w:r>
      <w:r>
        <w:rPr>
          <w:rStyle w:val="1663"/>
          <w:lang w:val="en-GB" w:eastAsia="zh-CN" w:bidi="hi-IN"/>
        </w:rPr>
        <w:footnoteReference w:id="25"/>
      </w:r>
      <w:r>
        <w:rPr>
          <w:lang w:val="en-GB" w:eastAsia="zh-CN" w:bidi="hi-IN"/>
        </w:rPr>
        <w:t xml:space="preserve">. A</w:t>
      </w:r>
      <w:r>
        <w:rPr>
          <w:lang w:val="en-GB" w:eastAsia="zh-CN" w:bidi="hi-IN"/>
        </w:rPr>
        <w:t xml:space="preserve"> month later, the Ministry of Justice identified 55 entities as its ‘structural subdivisions’, including ‘Aborigen Forum’ (AF), an informal network of Indigenous human rights defenders, and ICIPR, the International Committee of Indigenous Peoples of Russia</w:t>
      </w:r>
      <w:r>
        <w:rPr>
          <w:rStyle w:val="1663"/>
          <w:lang w:val="en-GB" w:eastAsia="zh-CN" w:bidi="hi-IN"/>
        </w:rPr>
        <w:footnoteReference w:id="26"/>
      </w:r>
      <w:r>
        <w:rPr>
          <w:lang w:val="en-GB" w:eastAsia="zh-CN" w:bidi="hi-IN"/>
        </w:rPr>
        <w:t xml:space="preserve">. In November 2024, the Supreme Court designated the ‘Forum of Free Nations of PostRussia’ a ‘terrorist organisation’</w:t>
      </w:r>
      <w:r>
        <w:rPr>
          <w:rStyle w:val="1663"/>
          <w:lang w:val="en-GB" w:eastAsia="zh-CN" w:bidi="hi-IN"/>
        </w:rPr>
        <w:footnoteReference w:id="27"/>
      </w:r>
      <w:r>
        <w:rPr>
          <w:lang w:val="en-GB" w:eastAsia="zh-CN" w:bidi="hi-IN"/>
        </w:rPr>
        <w:t xml:space="preserve">, and by implication 172 organisations which it referred to as its “structural subdivisions”</w:t>
      </w:r>
      <w:r>
        <w:rPr>
          <w:rStyle w:val="1663"/>
          <w:lang w:val="en-GB" w:eastAsia="zh-CN" w:bidi="hi-IN"/>
        </w:rPr>
        <w:footnoteReference w:id="28"/>
      </w:r>
      <w:r>
        <w:rPr>
          <w:lang w:val="en-GB" w:eastAsia="zh-CN" w:bidi="hi-IN"/>
        </w:rPr>
        <w:t xml:space="preserve"> This list included a </w:t>
      </w:r>
      <w:r>
        <w:rPr>
          <w:lang w:val="en-GB" w:eastAsia="zh-CN" w:bidi="hi-IN"/>
        </w:rPr>
        <w:t xml:space="preserve">variety of groups, some real, some fictional, with ethnic and regional agendas, as well as networks of Indigenous activists, including the previously mentioned AF and ICIPR, most of them completely unrelated to the Forum that had been labelled ‘terrorist’.</w:t>
      </w:r>
      <w:r/>
    </w:p>
    <w:p>
      <w:pPr>
        <w:pStyle w:val="1672"/>
        <w:numPr>
          <w:ilvl w:val="0"/>
          <w:numId w:val="3"/>
        </w:numPr>
        <w:pBdr/>
        <w:spacing/>
        <w:ind/>
        <w:rPr/>
      </w:pPr>
      <w:r/>
      <w:bookmarkStart w:id="12" w:name="__RefNumPara__6722_607661269"/>
      <w:r/>
      <w:bookmarkEnd w:id="12"/>
      <w:r>
        <w:t xml:space="preserve">These rulings opened the way for the application of Articles 282.2–282.4 (participation in, organisation or financing of the activities of an ‘extremist organisation’, punishable by 4 to 10 years’ imprisonment) and 205.5 (participation in or organisa</w:t>
      </w:r>
      <w:r>
        <w:t xml:space="preserve">tion of the activities of a ‘terrorist organisation’, up to 20 years’ imprisonment or life imprisonment). Moreover, in practice courts no longer require any proof of violence, intent to use or endorse it, or any actual connection to a banned organisation. </w:t>
      </w:r>
      <w:r/>
    </w:p>
    <w:p>
      <w:pPr>
        <w:pStyle w:val="1624"/>
        <w:pBdr/>
        <w:spacing/>
        <w:ind w:firstLine="0" w:left="0"/>
        <w:rPr/>
      </w:pPr>
      <w:r/>
      <w:bookmarkStart w:id="13" w:name="__RefHeading___Toc1766_3067546167"/>
      <w:r/>
      <w:bookmarkEnd w:id="13"/>
      <w:r>
        <w:rPr>
          <w:lang w:val="en-GB" w:eastAsia="zh-CN" w:bidi="hi-IN"/>
        </w:rPr>
        <w:t xml:space="preserve">The ‘Aborigen Forum’ case</w:t>
      </w:r>
      <w:r/>
    </w:p>
    <w:p>
      <w:pPr>
        <w:pStyle w:val="1672"/>
        <w:numPr>
          <w:ilvl w:val="0"/>
          <w:numId w:val="3"/>
        </w:numPr>
        <w:pBdr/>
        <w:spacing/>
        <w:ind/>
        <w:rPr/>
      </w:pPr>
      <w:r>
        <w:rPr>
          <w:lang w:val="en-GB" w:eastAsia="zh-CN" w:bidi="hi-IN"/>
        </w:rPr>
        <w:t xml:space="preserve">AF was an informal network of Indigenous human rights de</w:t>
      </w:r>
      <w:r>
        <w:rPr>
          <w:lang w:val="en-GB" w:eastAsia="zh-CN" w:bidi="hi-IN"/>
        </w:rPr>
        <w:t xml:space="preserve">fenders, documenting rights violations, pursuing international advocacy—including through engagement with UN mechanisms—and defending Indigenous land and cultural rights. Its activities were exclusively peaceful and focused on human rights. Following the J</w:t>
      </w:r>
      <w:r>
        <w:rPr>
          <w:lang w:val="en-GB" w:eastAsia="zh-CN" w:bidi="hi-IN"/>
        </w:rPr>
        <w:t xml:space="preserve">une 2024 ruling, AF disbanded voluntarily. However, this did not stop the persecution: in December 2024, AF was included into the list of ‘structural subdivisions’ of the ‘Forum of Free Nations of PostRussia’, which had been declared terrorist (see above).</w:t>
      </w:r>
      <w:r>
        <w:rPr>
          <w:rStyle w:val="1663"/>
          <w:lang w:val="en-GB" w:eastAsia="zh-CN" w:bidi="hi-IN"/>
        </w:rPr>
        <w:footnoteReference w:id="29"/>
      </w:r>
      <w:r>
        <w:rPr>
          <w:lang w:val="en-GB" w:eastAsia="zh-CN" w:bidi="hi-IN"/>
        </w:rPr>
        <w:t xml:space="preserve"> </w:t>
      </w:r>
      <w:r>
        <w:rPr>
          <w:rStyle w:val="1663"/>
          <w:lang w:val="en-GB" w:eastAsia="zh-CN" w:bidi="hi-IN"/>
        </w:rPr>
        <w:footnoteReference w:id="30"/>
      </w:r>
      <w:r/>
    </w:p>
    <w:p>
      <w:pPr>
        <w:pStyle w:val="1672"/>
        <w:numPr>
          <w:ilvl w:val="0"/>
          <w:numId w:val="3"/>
        </w:numPr>
        <w:pBdr/>
        <w:spacing/>
        <w:ind/>
        <w:rPr/>
      </w:pPr>
      <w:r>
        <w:rPr>
          <w:lang w:val="en-GB" w:eastAsia="zh-CN" w:bidi="hi-IN"/>
        </w:rPr>
        <w:t xml:space="preserve">On 17 December  raids</w:t>
      </w:r>
      <w:r>
        <w:rPr>
          <w:rStyle w:val="1663"/>
          <w:lang w:val="en-GB" w:eastAsia="zh-CN" w:bidi="hi-IN"/>
        </w:rPr>
        <w:footnoteReference w:id="31"/>
      </w:r>
      <w:r>
        <w:rPr>
          <w:lang w:val="en-GB" w:eastAsia="zh-CN" w:bidi="hi-IN"/>
        </w:rPr>
        <w:t xml:space="preserve"> were carried out at the homes of at least 17 Indigenous activists in Moscow, St Petersburg, the Republics of Altai and Sakha (Yakutia), Kemerovo and Tomsk Oblasts. Most targets were women (9 out of 17). In Moscow, two women – D.E.</w:t>
      </w:r>
      <w:r>
        <w:rPr>
          <w:rStyle w:val="1663"/>
          <w:lang w:val="en-GB" w:eastAsia="zh-CN" w:bidi="hi-IN"/>
        </w:rPr>
        <w:footnoteReference w:id="32"/>
      </w:r>
      <w:r>
        <w:rPr>
          <w:lang w:val="en-GB" w:eastAsia="zh-CN" w:bidi="hi-IN"/>
        </w:rPr>
        <w:t xml:space="preserve"> and N.L.</w:t>
      </w:r>
      <w:r>
        <w:rPr>
          <w:rStyle w:val="1663"/>
          <w:lang w:val="en-GB" w:eastAsia="zh-CN" w:bidi="hi-IN"/>
        </w:rPr>
        <w:footnoteReference w:id="33"/>
      </w:r>
      <w:r>
        <w:rPr>
          <w:lang w:val="en-GB" w:eastAsia="zh-CN" w:bidi="hi-IN"/>
        </w:rPr>
        <w:t xml:space="preserve"> – were detained and taken into custody. They have both been held in pre-trial detention since. </w:t>
      </w:r>
      <w:r/>
    </w:p>
    <w:p>
      <w:pPr>
        <w:pStyle w:val="1672"/>
        <w:numPr>
          <w:ilvl w:val="0"/>
          <w:numId w:val="3"/>
        </w:numPr>
        <w:pBdr/>
        <w:spacing/>
        <w:ind/>
        <w:rPr/>
      </w:pPr>
      <w:r>
        <w:rPr>
          <w:lang w:val="en-GB" w:eastAsia="zh-CN" w:bidi="hi-IN"/>
        </w:rPr>
        <w:t xml:space="preserve">D.E., of Selkup Indigenous origin, for over 20 years represented Russia’s Indigenous peoples in UN bodies and processes, including  UNFCCC, LCIPP, EMRIP, UNPFII. She was detained shortly after returning from UNFCCC COP30  in Belém, Brazil.</w:t>
      </w:r>
      <w:r/>
    </w:p>
    <w:p>
      <w:pPr>
        <w:pStyle w:val="1672"/>
        <w:numPr>
          <w:ilvl w:val="0"/>
          <w:numId w:val="3"/>
        </w:numPr>
        <w:pBdr/>
        <w:spacing/>
        <w:ind/>
        <w:rPr/>
      </w:pPr>
      <w:r>
        <w:rPr>
          <w:lang w:val="en-GB" w:eastAsia="zh-CN" w:bidi="hi-IN"/>
        </w:rPr>
        <w:t xml:space="preserve">N.L. devoted over 20 years protecting Indigenous rights on behalf of CSIPN (see para </w:t>
      </w:r>
      <w:r>
        <w:rPr>
          <w:lang w:val="en-GB" w:eastAsia="zh-CN" w:bidi="hi-IN"/>
        </w:rPr>
        <w:fldChar w:fldCharType="begin"/>
      </w:r>
      <w:r>
        <w:rPr>
          <w:lang w:val="en-GB" w:eastAsia="zh-CN" w:bidi="hi-IN"/>
        </w:rPr>
        <w:instrText xml:space="preserve"> REF __RefNumPara__3432_607661269 \r \r \h </w:instrText>
      </w:r>
      <w:r>
        <w:rPr>
          <w:lang w:val="en-GB" w:eastAsia="zh-CN" w:bidi="hi-IN"/>
        </w:rPr>
        <w:fldChar w:fldCharType="separate"/>
      </w:r>
      <w:r>
        <w:rPr>
          <w:lang w:val="en-GB" w:eastAsia="zh-CN" w:bidi="hi-IN"/>
        </w:rPr>
        <w:t xml:space="preserve">14</w:t>
      </w:r>
      <w:r>
        <w:rPr>
          <w:lang w:val="en-GB" w:eastAsia="zh-CN" w:bidi="hi-IN"/>
        </w:rPr>
        <w:fldChar w:fldCharType="end"/>
      </w:r>
      <w:r>
        <w:rPr>
          <w:lang w:val="en-GB" w:eastAsia="zh-CN" w:bidi="hi-IN"/>
        </w:rPr>
        <w:t xml:space="preserve">.) She was involved, among others, in capacity building, human rights education and documentation efforts. </w:t>
      </w:r>
      <w:r/>
    </w:p>
    <w:p>
      <w:pPr>
        <w:pStyle w:val="1672"/>
        <w:numPr>
          <w:ilvl w:val="0"/>
          <w:numId w:val="3"/>
        </w:numPr>
        <w:pBdr/>
        <w:spacing/>
        <w:ind/>
        <w:rPr/>
      </w:pPr>
      <w:r>
        <w:t xml:space="preserve">The ‘terrorism’ charge under Article 205.5 of the Criminal Code carr</w:t>
      </w:r>
      <w:r>
        <w:t xml:space="preserve">ies a sentence of between 10 and 20 years’ imprisonment. The accusations solely rest on AF’s arbitrary inclusion in a list of ‘structural subdivisions’ of the ‘Forum of Free Nations of PostRussia’ at a time when it had already dissolved itself. (see paras </w:t>
      </w:r>
      <w:r>
        <w:fldChar w:fldCharType="begin"/>
      </w:r>
      <w:r>
        <w:instrText xml:space="preserve"> REF __RefNumPara__6720_607661269 \r \r \h </w:instrText>
      </w:r>
      <w:r>
        <w:fldChar w:fldCharType="separate"/>
      </w:r>
      <w:r>
        <w:t xml:space="preserve">17</w:t>
      </w:r>
      <w:r>
        <w:fldChar w:fldCharType="end"/>
      </w:r>
      <w:r>
        <w:t xml:space="preserve">-</w:t>
      </w:r>
      <w:r>
        <w:fldChar w:fldCharType="begin"/>
      </w:r>
      <w:r>
        <w:instrText xml:space="preserve"> REF __RefNumPara__6722_607661269 \r \r \h </w:instrText>
      </w:r>
      <w:r>
        <w:fldChar w:fldCharType="separate"/>
      </w:r>
      <w:r>
        <w:t xml:space="preserve">18</w:t>
      </w:r>
      <w:r>
        <w:fldChar w:fldCharType="end"/>
      </w:r>
      <w:r>
        <w:t xml:space="preserve">) Thus, it stands to reason that the actual motivation behind their persecution is the State party’s desire to suppress environmental and human rights activism by and for Indigenous women.</w:t>
      </w:r>
      <w:r/>
    </w:p>
    <w:p>
      <w:pPr>
        <w:pStyle w:val="1672"/>
        <w:numPr>
          <w:ilvl w:val="0"/>
          <w:numId w:val="3"/>
        </w:numPr>
        <w:pBdr/>
        <w:spacing/>
        <w:ind/>
        <w:rPr/>
      </w:pPr>
      <w:r>
        <w:rPr>
          <w:lang w:val="en-GB" w:eastAsia="zh-CN" w:bidi="hi-IN"/>
        </w:rPr>
        <w:t xml:space="preserve">Other indige</w:t>
      </w:r>
      <w:r>
        <w:rPr>
          <w:lang w:val="en-GB" w:eastAsia="zh-CN" w:bidi="hi-IN"/>
        </w:rPr>
        <w:t xml:space="preserve">nous female activists and journalists targeted by the raids included O.K. (Chulym people, Tomsk Oblast, delegate to the UNPFII and EMRIP and UNFCCC COPs); I.K. (Yukaghir, delegate to the UNPFII and EMRIP sessions and to UNFCCC COPs); M.M. (Sámi, Saint Pete</w:t>
      </w:r>
      <w:r>
        <w:rPr>
          <w:lang w:val="en-GB" w:eastAsia="zh-CN" w:bidi="hi-IN"/>
        </w:rPr>
        <w:t xml:space="preserve">rsburg, member of the Sámi Nisson Forum (Sámi Women Forum) and Greenpeace volunteer); V.S. (Sámi, Murmansk Oblast, UNPFII member, former head of the Kola Sámi Parliament and member of the Sámi Nisson  Forum. The victims were driven into involuntary exile. </w:t>
      </w:r>
      <w:r/>
    </w:p>
    <w:p>
      <w:pPr>
        <w:pStyle w:val="1623"/>
        <w:pBdr/>
        <w:spacing/>
        <w:ind/>
        <w:rPr>
          <w:lang w:val="en-GB" w:eastAsia="zh-CN" w:bidi="hi-IN"/>
        </w:rPr>
      </w:pPr>
      <w:r/>
      <w:bookmarkStart w:id="14" w:name="__RefHeading___Toc2863_4112689729"/>
      <w:r/>
      <w:bookmarkEnd w:id="14"/>
      <w:r>
        <w:rPr>
          <w:lang w:val="en-GB" w:eastAsia="zh-CN" w:bidi="hi-IN"/>
        </w:rPr>
        <w:t xml:space="preserve">Armed conflict, women from Indigenous and minority communities</w:t>
        <w:br/>
        <w:t xml:space="preserve">and gender-based violence (</w:t>
      </w:r>
      <w:r>
        <w:t xml:space="preserve">CEDAW/C/RUS/CO/9</w:t>
      </w:r>
      <w:r>
        <w:rPr>
          <w:lang w:val="en-GB" w:eastAsia="zh-CN" w:bidi="hi-IN"/>
        </w:rPr>
        <w:t xml:space="preserve">, paras. 32–33)</w:t>
      </w:r>
      <w:r>
        <w:rPr>
          <w:lang w:val="en-GB" w:eastAsia="zh-CN" w:bidi="hi-IN"/>
        </w:rPr>
      </w:r>
    </w:p>
    <w:p>
      <w:pPr>
        <w:pStyle w:val="1672"/>
        <w:numPr>
          <w:ilvl w:val="0"/>
          <w:numId w:val="3"/>
        </w:numPr>
        <w:pBdr/>
        <w:spacing/>
        <w:ind/>
        <w:rPr/>
      </w:pPr>
      <w:r>
        <w:t xml:space="preserve">Indigenous peoples, including women, are consistently among those groups in Russia hardest hit by the impact of Russia’s full-scale invasion of Ukraine. </w:t>
      </w:r>
      <w:r/>
    </w:p>
    <w:p>
      <w:pPr>
        <w:pStyle w:val="1624"/>
        <w:pBdr/>
        <w:spacing/>
        <w:ind w:firstLine="0" w:left="0"/>
        <w:rPr/>
      </w:pPr>
      <w:r/>
      <w:bookmarkStart w:id="15" w:name="__RefHeading___Toc1768_3067546167"/>
      <w:r/>
      <w:bookmarkEnd w:id="15"/>
      <w:r>
        <w:rPr>
          <w:lang w:val="en-GB" w:eastAsia="zh-CN" w:bidi="hi-IN"/>
        </w:rPr>
        <w:t xml:space="preserve">Exorbitant rates of mobilisation, coerced recruitment and killed-in-action amongst Indigenous peoples</w:t>
      </w:r>
      <w:r/>
    </w:p>
    <w:p>
      <w:pPr>
        <w:pStyle w:val="1672"/>
        <w:numPr>
          <w:ilvl w:val="0"/>
          <w:numId w:val="3"/>
        </w:numPr>
        <w:pBdr/>
        <w:spacing/>
        <w:ind/>
        <w:rPr/>
      </w:pPr>
      <w:r/>
      <w:bookmarkStart w:id="16" w:name="__RefNumPara__3336_3035896518"/>
      <w:r/>
      <w:bookmarkEnd w:id="16"/>
      <w:r>
        <w:t xml:space="preserve">There are no public government statistics, disaggregated by ethnic background of those mobilised or recruited and subsequently incapacitated or </w:t>
      </w:r>
      <w:r>
        <w:t xml:space="preserve">killed in action, neither on the economic, social or cultural impact on Indigenous women. Nonetheless, there is clear evidence, that Indigenous peoples are disproportionately affected, which in some cases may amount to demographic and social catastrophes. </w:t>
      </w:r>
      <w:r/>
    </w:p>
    <w:p>
      <w:pPr>
        <w:pStyle w:val="1672"/>
        <w:numPr>
          <w:ilvl w:val="0"/>
          <w:numId w:val="3"/>
        </w:numPr>
        <w:pBdr/>
        <w:spacing/>
        <w:ind/>
        <w:rPr>
          <w:lang w:val="en-GB" w:eastAsia="zh-CN" w:bidi="hi-IN"/>
        </w:rPr>
      </w:pPr>
      <w:r>
        <w:rPr>
          <w:lang w:val="en-GB" w:eastAsia="zh-CN" w:bidi="hi-IN"/>
        </w:rPr>
        <w:t xml:space="preserve">Independent investigations unanimously find exorbitant rates of mobilisation and coerced recruitment of Indigenous peoples. </w:t>
      </w:r>
      <w:r>
        <w:rPr>
          <w:lang w:val="en-GB"/>
        </w:rPr>
        <w:t xml:space="preserve">In theory, the right to an alternative civilian service (ACS) in place of military service is enshrined in Article 9 of Federal Law 82-FZ  “On Guarantees of the Rights o</w:t>
      </w:r>
      <w:r>
        <w:rPr>
          <w:lang w:val="en-GB"/>
        </w:rPr>
        <w:t xml:space="preserve">f Indigenous Minority Peoples of the Russian Federation.” In practice, however, this provision is ignored during mobilisation due to a loophole in the regulatory framework, compounded by arbitrary conduct on the part of military commissariats (voenkomats).</w:t>
      </w:r>
      <w:r>
        <w:rPr>
          <w:lang w:val="en-GB" w:eastAsia="zh-CN" w:bidi="hi-IN"/>
        </w:rPr>
      </w:r>
    </w:p>
    <w:p>
      <w:pPr>
        <w:pStyle w:val="1672"/>
        <w:numPr>
          <w:ilvl w:val="0"/>
          <w:numId w:val="3"/>
        </w:numPr>
        <w:pBdr/>
        <w:spacing/>
        <w:ind/>
        <w:rPr>
          <w:lang w:val="en-GB"/>
        </w:rPr>
      </w:pPr>
      <w:r>
        <w:rPr>
          <w:lang w:val="en-GB"/>
        </w:rPr>
        <w:t xml:space="preserve">Law No. 82-FZ addresses only peacetime conscription; a mobilisation regime was not something its drafters anticipated. The governing statute on mobilisation itself (Federal Law No. 31-FZ of 26 February 19</w:t>
      </w:r>
      <w:r>
        <w:rPr>
          <w:lang w:val="en-GB"/>
        </w:rPr>
        <w:t xml:space="preserve">97) provides no exemptions for Indigenous peoples. The right to ACS thus exists in the law on conscription but is absent from the law on mobilisation, and this gap is interpreted by authorities as making the guarantee inapplicable once mobilisation begins.</w:t>
      </w:r>
      <w:r>
        <w:rPr>
          <w:lang w:val="en-GB" w:bidi="en-GB"/>
        </w:rPr>
        <w:t xml:space="preserve"> </w:t>
      </w:r>
      <w:r>
        <w:rPr>
          <w:lang w:val="en-GB"/>
        </w:rPr>
        <w:t xml:space="preserve">This is implicitly acknowledged by lawmakers: in April 20</w:t>
      </w:r>
      <w:r>
        <w:rPr>
          <w:lang w:val="en-GB"/>
        </w:rPr>
        <w:t xml:space="preserve">26, Duma deputy Fedot Tumusov introduced a bill granting Indigenous men the right to exempt themselves from both conscription and mobilisation — singling out mobilisation as a ground requiring new regulation, confirming that current law does not address it</w:t>
      </w:r>
      <w:r>
        <w:rPr>
          <w:rStyle w:val="1663"/>
          <w:lang w:val="en-GB"/>
        </w:rPr>
        <w:footnoteReference w:id="34"/>
      </w:r>
      <w:r>
        <w:rPr>
          <w:lang w:val="en-GB"/>
        </w:rPr>
        <w:t xml:space="preserve">.</w:t>
      </w:r>
      <w:r>
        <w:rPr>
          <w:lang w:val="en-GB"/>
        </w:rPr>
      </w:r>
    </w:p>
    <w:p>
      <w:pPr>
        <w:pStyle w:val="1672"/>
        <w:numPr>
          <w:ilvl w:val="0"/>
          <w:numId w:val="3"/>
        </w:numPr>
        <w:pBdr/>
        <w:spacing/>
        <w:ind/>
        <w:rPr/>
      </w:pPr>
      <w:r>
        <w:rPr>
          <w:lang w:val="en-GB"/>
        </w:rPr>
        <w:t xml:space="preserve">The consequences of this gap are sever</w:t>
      </w:r>
      <w:r>
        <w:rPr>
          <w:lang w:val="en-GB" w:eastAsia="zh-CN" w:bidi="hi-IN"/>
        </w:rPr>
        <w:t xml:space="preserve">e. According to an investigation, the mobilisation rate among the non-Indigenous population of the Khabarovsk Krai stood at around 34 people per 10,000 inhabitants, whilst among the Indigenous population it was around 95 people per 10,000</w:t>
      </w:r>
      <w:r>
        <w:rPr>
          <w:rStyle w:val="1663"/>
          <w:lang w:val="en-GB" w:eastAsia="zh-CN" w:bidi="hi-IN"/>
        </w:rPr>
        <w:footnoteReference w:id="35"/>
      </w:r>
      <w:r>
        <w:rPr>
          <w:lang w:val="en-GB" w:eastAsia="zh-CN" w:bidi="hi-IN"/>
        </w:rPr>
        <w:t xml:space="preserve"> , that is, almost three times higher. In the Udege village of Gvasyugi, with only 211 people inhabitants, 14 Indigenous Udege men were mobilised</w:t>
      </w:r>
      <w:r>
        <w:rPr>
          <w:rStyle w:val="1663"/>
          <w:lang w:val="en-GB" w:eastAsia="zh-CN" w:bidi="hi-IN"/>
        </w:rPr>
        <w:footnoteReference w:id="36"/>
      </w:r>
      <w:r>
        <w:rPr>
          <w:lang w:val="en-GB" w:eastAsia="zh-CN" w:bidi="hi-IN"/>
        </w:rPr>
        <w:t xml:space="preserve">. By August 2024, at least five of them had been killed in action</w:t>
      </w:r>
      <w:r>
        <w:rPr>
          <w:rStyle w:val="1663"/>
          <w:lang w:val="en-GB" w:eastAsia="zh-CN" w:bidi="hi-IN"/>
        </w:rPr>
        <w:footnoteReference w:id="37"/>
      </w:r>
      <w:r>
        <w:rPr>
          <w:lang w:val="en-GB" w:eastAsia="zh-CN" w:bidi="hi-IN"/>
        </w:rPr>
        <w:t xml:space="preserve">. </w:t>
      </w:r>
      <w:r/>
    </w:p>
    <w:p>
      <w:pPr>
        <w:pStyle w:val="1672"/>
        <w:numPr>
          <w:ilvl w:val="0"/>
          <w:numId w:val="3"/>
        </w:numPr>
        <w:pBdr/>
        <w:spacing/>
        <w:ind/>
        <w:rPr/>
      </w:pPr>
      <w:r>
        <w:rPr>
          <w:lang w:val="en-GB" w:eastAsia="zh-CN" w:bidi="hi-IN"/>
        </w:rPr>
        <w:t xml:space="preserve">Also, in Andryushkino, Nizhnekolymsky ulus (district)</w:t>
      </w:r>
      <w:r>
        <w:rPr>
          <w:rStyle w:val="1663"/>
          <w:lang w:val="en-GB" w:eastAsia="zh-CN" w:bidi="hi-IN"/>
        </w:rPr>
        <w:footnoteReference w:id="38"/>
      </w:r>
      <w:r>
        <w:rPr>
          <w:lang w:val="en-GB" w:eastAsia="zh-CN" w:bidi="hi-IN"/>
        </w:rPr>
        <w:t xml:space="preserve">, where 581 of 839 </w:t>
      </w:r>
      <w:r>
        <w:rPr>
          <w:lang w:val="en-GB" w:eastAsia="zh-CN" w:bidi="hi-IN"/>
        </w:rPr>
        <w:t xml:space="preserve">residents, or 69 per cent, identify as Indigenous, 72 men were mobilised, of whom at least 22 were killed in action, more than a third of those who were actually sent to fight in Ukraine. The 72 men mobilised accounted for 17 per cent of all male residents</w:t>
      </w:r>
      <w:r>
        <w:rPr>
          <w:rStyle w:val="1663"/>
          <w:lang w:val="en-GB" w:eastAsia="zh-CN" w:bidi="hi-IN"/>
        </w:rPr>
        <w:footnoteReference w:id="39"/>
      </w:r>
      <w:r>
        <w:rPr>
          <w:lang w:val="en-GB" w:eastAsia="zh-CN" w:bidi="hi-IN"/>
        </w:rPr>
        <w:t xml:space="preserve">. Since all men mobilised are of working age, such a loss spells social and economic disaster for a small village where the birth rate is already low.</w:t>
      </w:r>
      <w:r/>
    </w:p>
    <w:p>
      <w:pPr>
        <w:pStyle w:val="1672"/>
        <w:numPr>
          <w:ilvl w:val="0"/>
          <w:numId w:val="3"/>
        </w:numPr>
        <w:pBdr/>
        <w:spacing/>
        <w:ind/>
        <w:rPr/>
      </w:pPr>
      <w:r>
        <w:t xml:space="preserve">This extreme disproportionality reveals a pattern of discrimination: Firstly, the authorities appear to be deliberately targeting mobilisation campaigns at Indigenous peoples</w:t>
      </w:r>
      <w:r>
        <w:rPr>
          <w:rStyle w:val="1663"/>
        </w:rPr>
        <w:footnoteReference w:id="40"/>
      </w:r>
      <w:r>
        <w:t xml:space="preserve">. Secondly, Indigenous men usually have fewer resources to evade mobilisation — less information, fewer social and financial opportunities to leave the area or find other ways to avoid conscription. </w:t>
      </w:r>
      <w:r/>
    </w:p>
    <w:p>
      <w:pPr>
        <w:pStyle w:val="1672"/>
        <w:numPr>
          <w:ilvl w:val="0"/>
          <w:numId w:val="3"/>
        </w:numPr>
        <w:pBdr/>
        <w:spacing/>
        <w:ind/>
        <w:rPr/>
      </w:pPr>
      <w:r>
        <w:rPr>
          <w:lang w:val="en-GB" w:eastAsia="zh-CN" w:bidi="hi-IN"/>
        </w:rPr>
        <w:t xml:space="preserve">Not only mandatory mobilisation, but als</w:t>
      </w:r>
      <w:r>
        <w:rPr>
          <w:lang w:val="en-GB" w:eastAsia="zh-CN" w:bidi="hi-IN"/>
        </w:rPr>
        <w:t xml:space="preserve">o “voluntary” recruitment disproportionately targets Indigenous peoples. The village Sedanka in Kamchatka is home to 250 people, mainly indigenous Koryaks and Itelmens. Here, 52 of the 67 men were recruited. 19 of them or 36 per cent were killed in action.</w:t>
      </w:r>
      <w:r>
        <w:rPr>
          <w:rStyle w:val="1663"/>
          <w:lang w:val="en-GB" w:eastAsia="zh-CN" w:bidi="hi-IN"/>
        </w:rPr>
        <w:footnoteReference w:id="41"/>
      </w:r>
      <w:r>
        <w:rPr>
          <w:lang w:val="en-GB" w:eastAsia="zh-CN" w:bidi="hi-IN"/>
        </w:rPr>
        <w:t xml:space="preserve"> One major driver, causing young men</w:t>
      </w:r>
      <w:r>
        <w:rPr>
          <w:lang w:val="en-GB" w:eastAsia="zh-CN" w:bidi="hi-IN"/>
        </w:rPr>
        <w:t xml:space="preserve"> to seek out jobs in the army is profound economic despair. Further, due to their very limited access to quality education, reindeer herders are particularly vulnerable to State propaganda. Again, while the State party does not provide disaggregated data, </w:t>
      </w:r>
      <w:r>
        <w:t xml:space="preserve">the multitude of case reports suggest, that these are far from isolated incidents.</w:t>
      </w:r>
      <w:r/>
    </w:p>
    <w:p>
      <w:pPr>
        <w:pStyle w:val="1672"/>
        <w:numPr>
          <w:ilvl w:val="0"/>
          <w:numId w:val="3"/>
        </w:numPr>
        <w:pBdr/>
        <w:spacing/>
        <w:ind/>
        <w:rPr/>
      </w:pPr>
      <w:r>
        <w:rPr>
          <w:lang w:val="en-GB" w:eastAsia="zh-CN" w:bidi="hi-IN"/>
        </w:rPr>
        <w:t xml:space="preserve">Our research also  revealed a recurring pattern of direct coercion and forced recruitment virtually everywhere, where Indigenous peoples live. As one of our female sources reported: </w:t>
      </w:r>
      <w:r>
        <w:rPr>
          <w:i/>
          <w:iCs/>
          <w:lang w:val="en-GB" w:eastAsia="zh-CN" w:bidi="hi-IN"/>
        </w:rPr>
        <w:t xml:space="preserve">“</w:t>
      </w:r>
      <w:r>
        <w:rPr>
          <w:i/>
          <w:iCs/>
        </w:rPr>
        <w:t xml:space="preserve">One of my brothers was taken from his place of detention – that is, prison; two brothers were taken away under threat of criminal charges being brought against them; two brothers signed up voluntarily (for </w:t>
      </w:r>
      <w:r>
        <w:rPr>
          <w:i/>
          <w:iCs/>
        </w:rPr>
        <w:t xml:space="preserve">the money). One disabled Indigenous man from my village, whilst intoxicated, entered his neighbours’ house, who called the police on him. They took him away, and the very next day he was sent to the ‘Special Military Operation’. His sisters were unable to </w:t>
      </w:r>
      <w:r>
        <w:rPr>
          <w:i/>
          <w:iCs/>
        </w:rPr>
        <w:t xml:space="preserve">do anything. He is now listed as missing. Another Indigenous man had his driving licence revoked. He went to the police to find out for how long his licence had been suspended, and when he returned home, he said that he had signed a contract under duress.”</w:t>
      </w:r>
      <w:r/>
    </w:p>
    <w:p>
      <w:pPr>
        <w:pStyle w:val="1672"/>
        <w:numPr>
          <w:ilvl w:val="0"/>
          <w:numId w:val="3"/>
        </w:numPr>
        <w:pBdr/>
        <w:spacing/>
        <w:ind/>
        <w:rPr/>
      </w:pPr>
      <w:r>
        <w:t xml:space="preserve">For peo</w:t>
      </w:r>
      <w:r>
        <w:t xml:space="preserve">ples with total populations of only a few thousand or even a few hundred people, the death in combat of even a small number of men  risks the extinction of entire extended families and lineages, thereby threatening the survival of the ethnic group itself. </w:t>
      </w:r>
      <w:r/>
    </w:p>
    <w:p>
      <w:pPr>
        <w:pStyle w:val="1624"/>
        <w:pBdr/>
        <w:spacing/>
        <w:ind w:firstLine="0" w:left="0"/>
        <w:rPr/>
      </w:pPr>
      <w:r/>
      <w:bookmarkStart w:id="17" w:name="__RefHeading___Toc1770_3067546167"/>
      <w:r/>
      <w:bookmarkEnd w:id="17"/>
      <w:r>
        <w:rPr>
          <w:lang w:val="en-GB" w:eastAsia="zh-CN" w:bidi="hi-IN"/>
        </w:rPr>
        <w:t xml:space="preserve">Impact on Indigenous women</w:t>
      </w:r>
      <w:r/>
    </w:p>
    <w:p>
      <w:pPr>
        <w:pStyle w:val="1672"/>
        <w:numPr>
          <w:ilvl w:val="0"/>
          <w:numId w:val="3"/>
        </w:numPr>
        <w:pBdr/>
        <w:spacing/>
        <w:ind/>
        <w:rPr/>
      </w:pPr>
      <w:r>
        <w:t xml:space="preserve">The mass mobilisation and the pattern of coerced recruitment of men of working age place an additional burden on Indigenous women, exacerbating the already vulnerable situation of these small communities. </w:t>
      </w:r>
      <w:r/>
    </w:p>
    <w:p>
      <w:pPr>
        <w:pStyle w:val="1672"/>
        <w:numPr>
          <w:ilvl w:val="0"/>
          <w:numId w:val="3"/>
        </w:numPr>
        <w:pBdr/>
        <w:spacing/>
        <w:ind/>
        <w:rPr>
          <w:lang w:val="en-GB" w:eastAsia="zh-CN" w:bidi="hi-IN"/>
        </w:rPr>
      </w:pPr>
      <w:r/>
      <w:bookmarkStart w:id="18" w:name="__RefNumPara__3338_3035896518"/>
      <w:r/>
      <w:bookmarkEnd w:id="18"/>
      <w:r>
        <w:rPr>
          <w:b/>
          <w:bCs/>
          <w:lang w:val="en-GB" w:eastAsia="zh-CN" w:bidi="hi-IN"/>
        </w:rPr>
        <w:t xml:space="preserve">Economic burden. </w:t>
      </w:r>
      <w:r>
        <w:rPr>
          <w:lang w:val="en-GB" w:eastAsia="zh-CN" w:bidi="hi-IN"/>
        </w:rPr>
        <w:t xml:space="preserve">Women are becoming the</w:t>
      </w:r>
      <w:r>
        <w:rPr>
          <w:lang w:val="en-GB" w:eastAsia="zh-CN" w:bidi="hi-IN"/>
        </w:rPr>
        <w:t xml:space="preserve"> sole breadwinners for their families. The disappearance, incapacitation or death of men disrupt traditional subsistence activities such as fishing and reindeer herding, which are traditionally male domains, along with transmission of traditional knowledge</w:t>
      </w:r>
      <w:r>
        <w:rPr>
          <w:rStyle w:val="1663"/>
          <w:lang w:val="en-GB" w:eastAsia="zh-CN" w:bidi="hi-IN"/>
        </w:rPr>
        <w:footnoteReference w:id="42"/>
      </w:r>
      <w:r>
        <w:rPr>
          <w:lang w:val="en-GB" w:eastAsia="zh-CN" w:bidi="hi-IN"/>
        </w:rPr>
        <w:t xml:space="preserve">. Furthermore, women are forced to pay neighbours to help them with essential tasks such as chopping firewood and fetching water</w:t>
      </w:r>
      <w:r>
        <w:rPr>
          <w:rStyle w:val="1663"/>
          <w:lang w:val="en-GB" w:eastAsia="zh-CN" w:bidi="hi-IN"/>
        </w:rPr>
        <w:footnoteReference w:id="43"/>
      </w:r>
      <w:r>
        <w:rPr>
          <w:lang w:val="en-GB" w:eastAsia="zh-CN" w:bidi="hi-IN"/>
        </w:rPr>
        <w:t xml:space="preserve">.</w:t>
      </w:r>
      <w:r>
        <w:t xml:space="preserve"> </w:t>
      </w:r>
      <w:r>
        <w:rPr>
          <w:lang w:val="en-GB" w:eastAsia="zh-CN" w:bidi="hi-IN"/>
        </w:rPr>
      </w:r>
    </w:p>
    <w:p>
      <w:pPr>
        <w:pStyle w:val="1672"/>
        <w:numPr>
          <w:ilvl w:val="0"/>
          <w:numId w:val="3"/>
        </w:numPr>
        <w:pBdr/>
        <w:spacing/>
        <w:ind/>
        <w:rPr/>
      </w:pPr>
      <w:r>
        <w:rPr>
          <w:b/>
          <w:bCs/>
          <w:lang w:val="en-GB" w:eastAsia="zh-CN" w:bidi="hi-IN"/>
        </w:rPr>
        <w:t xml:space="preserve">Caring for children, the elderly and war-wounded relatives.</w:t>
      </w:r>
      <w:r>
        <w:rPr>
          <w:lang w:val="en-GB" w:eastAsia="zh-CN" w:bidi="hi-IN"/>
        </w:rPr>
        <w:t xml:space="preserve"> </w:t>
      </w:r>
      <w:r>
        <w:rPr>
          <w:lang w:val="en-GB"/>
        </w:rPr>
        <w:t xml:space="preserve">Mobilisation and combat losses have removed men who previously contributed to the household's economic and physical labour, leaving women to bear the full burden of unpaid care for children, elderly re</w:t>
      </w:r>
      <w:r>
        <w:rPr>
          <w:lang w:val="en-GB"/>
        </w:rPr>
        <w:t xml:space="preserve">latives, and people with disabilities largely alone. In some cases, this burden is compounded by the return of severely incapacitated servicemen requiring long-term care, in regions where social and medical infrastructure was already limited before the war</w:t>
      </w:r>
      <w:r>
        <w:rPr>
          <w:lang w:val="en-GB" w:eastAsia="zh-CN" w:bidi="hi-IN"/>
        </w:rPr>
        <w:t xml:space="preserve"> (see Section </w:t>
      </w:r>
      <w:r>
        <w:rPr>
          <w:lang w:val="en-GB" w:eastAsia="zh-CN" w:bidi="hi-IN"/>
        </w:rPr>
        <w:fldChar w:fldCharType="begin"/>
      </w:r>
      <w:r>
        <w:rPr>
          <w:lang w:val="en-GB" w:eastAsia="zh-CN" w:bidi="hi-IN"/>
        </w:rPr>
        <w:instrText xml:space="preserve"> REF __RefHeading___Toc36746_607661269 \r \r \h </w:instrText>
      </w:r>
      <w:r>
        <w:rPr>
          <w:lang w:val="en-GB" w:eastAsia="zh-CN" w:bidi="hi-IN"/>
        </w:rPr>
        <w:fldChar w:fldCharType="separate"/>
      </w:r>
      <w:r>
        <w:rPr>
          <w:lang w:val="en-GB" w:eastAsia="zh-CN" w:bidi="hi-IN"/>
        </w:rPr>
        <w:t xml:space="preserve">8</w:t>
      </w:r>
      <w:r>
        <w:rPr>
          <w:lang w:val="en-GB" w:eastAsia="zh-CN" w:bidi="hi-IN"/>
        </w:rPr>
        <w:fldChar w:fldCharType="end"/>
      </w:r>
      <w:r>
        <w:rPr>
          <w:lang w:val="en-GB" w:eastAsia="zh-CN" w:bidi="hi-IN"/>
        </w:rPr>
        <w:t xml:space="preserve">).</w:t>
      </w:r>
      <w:r/>
    </w:p>
    <w:p>
      <w:pPr>
        <w:pStyle w:val="1672"/>
        <w:numPr>
          <w:ilvl w:val="0"/>
          <w:numId w:val="3"/>
        </w:numPr>
        <w:pBdr/>
        <w:spacing/>
        <w:ind/>
        <w:rPr/>
      </w:pPr>
      <w:r>
        <w:rPr>
          <w:b/>
          <w:bCs/>
          <w:lang w:val="en-GB" w:eastAsia="zh-CN" w:bidi="hi-IN"/>
        </w:rPr>
        <w:t xml:space="preserve">Psychological distress, poverty and forced assimilation.  </w:t>
      </w:r>
      <w:r>
        <w:rPr>
          <w:lang w:val="en-GB"/>
        </w:rPr>
        <w:t xml:space="preserve">The war has deepened the economic collapse of reindeer-herding communities, forcing women and children to abandon their tr</w:t>
      </w:r>
      <w:r>
        <w:rPr>
          <w:lang w:val="en-GB"/>
        </w:rPr>
        <w:t xml:space="preserve">aditional territories and move into predominantly non-indigenous towns and cities. This leads to assimilation, loss of culture, language, and traditional knowledge. Giving up one’s indigenous identity is the virtual precondition for any career advancement.</w:t>
      </w:r>
      <w:r/>
    </w:p>
    <w:p>
      <w:pPr>
        <w:pStyle w:val="1672"/>
        <w:numPr>
          <w:ilvl w:val="0"/>
          <w:numId w:val="3"/>
        </w:numPr>
        <w:pBdr/>
        <w:spacing/>
        <w:ind/>
        <w:rPr/>
      </w:pPr>
      <w:r/>
      <w:bookmarkStart w:id="19" w:name="_Ref2"/>
      <w:r>
        <w:rPr>
          <w:lang w:val="en-GB"/>
        </w:rPr>
        <w:t xml:space="preserve">A ca</w:t>
      </w:r>
      <w:r>
        <w:rPr>
          <w:lang w:val="en-GB"/>
        </w:rPr>
        <w:t xml:space="preserve">se example is one Indigenous settlement on Kolguev island, where families of servicemen killed or wounded in the war had to use death and disability compensation payments to relocate to the mainland, a departure described by locals as effectively permanent</w:t>
      </w:r>
      <w:r>
        <w:rPr>
          <w:rStyle w:val="1663"/>
          <w:lang w:val="en-GB"/>
        </w:rPr>
        <w:footnoteReference w:id="44"/>
      </w:r>
      <w:r>
        <w:rPr>
          <w:lang w:val="en-GB"/>
        </w:rPr>
        <w:t xml:space="preserve">. It illustrates how the war compounds pre-existing poverty and drives irreversible displacement from ancestral land and loss of indigenous identity. </w:t>
      </w:r>
      <w:r>
        <w:rPr>
          <w:lang w:val="en-GB" w:bidi="en-GB"/>
        </w:rPr>
        <w:t xml:space="preserve">Furthermore, the victims loose self-sufficiency and become permanently dependent on the State welfare system. </w:t>
      </w:r>
      <w:r>
        <w:rPr>
          <w:lang w:val="en-GB"/>
        </w:rPr>
        <w:t xml:space="preserve">All of that is destroying the social fabric, and women primarily bear the burden of mitigating the impact.</w:t>
      </w:r>
      <w:bookmarkEnd w:id="19"/>
      <w:r/>
      <w:r/>
    </w:p>
    <w:p>
      <w:pPr>
        <w:pStyle w:val="1672"/>
        <w:numPr>
          <w:ilvl w:val="0"/>
          <w:numId w:val="3"/>
        </w:numPr>
        <w:pBdr/>
        <w:spacing/>
        <w:ind/>
        <w:rPr/>
      </w:pPr>
      <w:r/>
      <w:bookmarkStart w:id="20" w:name="__RefNumPara__3340_3035896518"/>
      <w:r/>
      <w:bookmarkEnd w:id="20"/>
      <w:r>
        <w:rPr>
          <w:lang w:val="en-GB" w:eastAsia="zh-CN" w:bidi="hi-IN"/>
        </w:rPr>
        <w:t xml:space="preserve">Domestic violence. The already omnipresent domestic violence in Russia is exacerbated by the war: rising psychological distress, the trauma suffered by men returning from the front, and extremely limited access to mental and physical health </w:t>
      </w:r>
      <w:r>
        <w:rPr>
          <w:lang w:val="en-GB" w:eastAsia="zh-CN" w:bidi="hi-IN"/>
        </w:rPr>
        <w:t xml:space="preserve">services and legal support in the chronically underserved remote Indigenous territories leave women without any protection. At the same time, the true extent of the problem is hard to assess, due to the State party’s failure to provide disaggregated data. </w:t>
      </w:r>
      <w:r/>
    </w:p>
    <w:p>
      <w:pPr>
        <w:pStyle w:val="1623"/>
        <w:pBdr/>
        <w:spacing/>
        <w:ind/>
        <w:rPr>
          <w:lang w:val="en-GB" w:eastAsia="zh-CN" w:bidi="hi-IN"/>
        </w:rPr>
      </w:pPr>
      <w:r/>
      <w:bookmarkStart w:id="21" w:name="__RefHeading___Toc2865_4112689729"/>
      <w:r/>
      <w:bookmarkStart w:id="22" w:name="_heading=h.cdyoph3nmy5s"/>
      <w:r/>
      <w:bookmarkEnd w:id="21"/>
      <w:r/>
      <w:bookmarkEnd w:id="22"/>
      <w:r>
        <w:rPr>
          <w:lang w:val="en-GB" w:eastAsia="zh-CN" w:bidi="hi-IN"/>
        </w:rPr>
        <w:t xml:space="preserve">Participation in decision-making (</w:t>
      </w:r>
      <w:r>
        <w:t xml:space="preserve">CEDAW/C/RUS/CO/9</w:t>
      </w:r>
      <w:r>
        <w:rPr>
          <w:lang w:val="en-GB" w:eastAsia="zh-CN" w:bidi="hi-IN"/>
        </w:rPr>
        <w:t xml:space="preserve">, paras. 30–31)</w:t>
      </w:r>
      <w:r>
        <w:rPr>
          <w:lang w:val="en-GB" w:eastAsia="zh-CN" w:bidi="hi-IN"/>
        </w:rPr>
      </w:r>
    </w:p>
    <w:p>
      <w:pPr>
        <w:pStyle w:val="1672"/>
        <w:numPr>
          <w:ilvl w:val="0"/>
          <w:numId w:val="3"/>
        </w:numPr>
        <w:pBdr/>
        <w:spacing/>
        <w:ind/>
        <w:rPr/>
      </w:pPr>
      <w:r>
        <w:t xml:space="preserve">In 2021, the Committee recommended that the State ensure the full and equal participation of women, including at regional and local levels, in political and public life, including through the adoption of temporary special measures (paras. 30–31). </w:t>
      </w:r>
      <w:r/>
    </w:p>
    <w:p>
      <w:pPr>
        <w:pStyle w:val="1672"/>
        <w:numPr>
          <w:ilvl w:val="0"/>
          <w:numId w:val="3"/>
        </w:numPr>
        <w:pBdr/>
        <w:spacing/>
        <w:ind/>
        <w:rPr/>
      </w:pPr>
      <w:r>
        <w:t xml:space="preserve">The Stat</w:t>
      </w:r>
      <w:r>
        <w:t xml:space="preserve">e party fails to publish any statistics on the participation of Indigenous women in regional and local government bodies, as well as on their representation in councils of Indigenous peoples’ representatives attached to regional authorities, which makes it</w:t>
      </w:r>
      <w:r>
        <w:t xml:space="preserve"> impossible to reliably identify trends, regarding participation in decision-making.  However, according to our sources, the very institutional space in which Indigenous women could exercise their right to participation has been systematically dismantled. </w:t>
      </w:r>
      <w:r/>
    </w:p>
    <w:p>
      <w:pPr>
        <w:pStyle w:val="1672"/>
        <w:numPr>
          <w:ilvl w:val="0"/>
          <w:numId w:val="3"/>
        </w:numPr>
        <w:pBdr/>
        <w:spacing/>
        <w:ind/>
        <w:rPr/>
      </w:pPr>
      <w:r>
        <w:t xml:space="preserve">For all practical means, Indigenous women are silenced, they are deprived of independent channels for voicing their concerns, both nationally and internationally. As noted in para </w:t>
      </w:r>
      <w:r>
        <w:fldChar w:fldCharType="begin"/>
      </w:r>
      <w:r>
        <w:instrText xml:space="preserve"> REF __RefNumPara__4858_3926297173 \r \r \h </w:instrText>
      </w:r>
      <w:r>
        <w:fldChar w:fldCharType="separate"/>
      </w:r>
      <w:r>
        <w:t xml:space="preserve">13</w:t>
      </w:r>
      <w:r>
        <w:fldChar w:fldCharType="end"/>
      </w:r>
      <w:r>
        <w:t xml:space="preserve">, RAIPON, the nation-wide Indigenous umbrella organisation is now under</w:t>
      </w:r>
      <w:r>
        <w:t xml:space="preserve"> full control by the state and state-affiliated businesses. Women who held leadership and expert positions in organisations, such as CSIPN, AF and Batani have been targeted by criminal prosecution and were either arrested or forced into exile (see section </w:t>
      </w:r>
      <w:r>
        <w:fldChar w:fldCharType="begin"/>
      </w:r>
      <w:r>
        <w:instrText xml:space="preserve"> REF __RefHeading___Toc39851_607661269 \r \r \h </w:instrText>
      </w:r>
      <w:r>
        <w:fldChar w:fldCharType="separate"/>
      </w:r>
      <w:r>
        <w:t xml:space="preserve">4</w:t>
      </w:r>
      <w:r>
        <w:fldChar w:fldCharType="end"/>
      </w:r>
      <w:r>
        <w:t xml:space="preserve">). </w:t>
      </w:r>
      <w:r/>
    </w:p>
    <w:p>
      <w:pPr>
        <w:pStyle w:val="1623"/>
        <w:pBdr/>
        <w:spacing/>
        <w:ind/>
        <w:rPr>
          <w:lang w:val="en-GB" w:eastAsia="zh-CN" w:bidi="hi-IN"/>
        </w:rPr>
      </w:pPr>
      <w:r/>
      <w:bookmarkStart w:id="23" w:name="__RefHeading___Toc2867_4112689729"/>
      <w:r/>
      <w:bookmarkEnd w:id="23"/>
      <w:r>
        <w:rPr>
          <w:lang w:val="en-GB" w:eastAsia="zh-CN" w:bidi="hi-IN"/>
        </w:rPr>
        <w:t xml:space="preserve">Climate, traditional lands, the extractive industries and FPIC</w:t>
        <w:br/>
        <w:t xml:space="preserve">(</w:t>
      </w:r>
      <w:r>
        <w:t xml:space="preserve">CEDAW/C/RUS/CO/9</w:t>
      </w:r>
      <w:r>
        <w:rPr>
          <w:lang w:val="en-GB" w:eastAsia="zh-CN" w:bidi="hi-IN"/>
        </w:rPr>
        <w:t xml:space="preserve">, paras. 54–55)</w:t>
      </w:r>
      <w:r>
        <w:rPr>
          <w:lang w:val="en-GB" w:eastAsia="zh-CN" w:bidi="hi-IN"/>
        </w:rPr>
      </w:r>
    </w:p>
    <w:p>
      <w:pPr>
        <w:pStyle w:val="1672"/>
        <w:numPr>
          <w:ilvl w:val="0"/>
          <w:numId w:val="3"/>
        </w:numPr>
        <w:pBdr/>
        <w:spacing/>
        <w:ind/>
        <w:rPr>
          <w:lang w:val="en-GB" w:eastAsia="zh-CN" w:bidi="hi-IN"/>
        </w:rPr>
      </w:pPr>
      <w:r>
        <w:t xml:space="preserve">In 2021, the Committee noted the absence of a gender perspect</w:t>
      </w:r>
      <w:r>
        <w:t xml:space="preserve">ive in the State’s climate policy, particularly with regard to rural and Indigenous women, despite their disproportionate vulnerability to the effects of climate change. We were unable to identify any such policies, subsequently adopted by the State party.</w:t>
      </w:r>
      <w:r>
        <w:rPr>
          <w:lang w:val="en-GB" w:eastAsia="zh-CN" w:bidi="hi-IN"/>
        </w:rPr>
      </w:r>
    </w:p>
    <w:p>
      <w:pPr>
        <w:pStyle w:val="1672"/>
        <w:numPr>
          <w:ilvl w:val="0"/>
          <w:numId w:val="3"/>
        </w:numPr>
        <w:pBdr/>
        <w:spacing/>
        <w:ind/>
        <w:rPr/>
      </w:pPr>
      <w:r>
        <w:rPr>
          <w:lang w:val="en-GB" w:eastAsia="zh-CN" w:bidi="hi-IN"/>
        </w:rPr>
        <w:t xml:space="preserve">Indigenous peoples’ territories remain subject to intensive resource extraction. According to Rosstat, in 2020 over 150 million tonnes of oil, more than 600 billion cubic metres of natural gas and over 23 million tonnes of coal were extracted from them</w:t>
      </w:r>
      <w:r>
        <w:rPr>
          <w:rStyle w:val="1663"/>
          <w:lang w:val="en-GB" w:eastAsia="zh-CN" w:bidi="hi-IN"/>
        </w:rPr>
        <w:footnoteReference w:id="45"/>
      </w:r>
      <w:r>
        <w:rPr>
          <w:lang w:val="en-GB" w:eastAsia="zh-CN" w:bidi="hi-IN"/>
        </w:rPr>
        <w:t xml:space="preserve">. At the same time, there are barely any effective legal mechanisms remaining to protect their lands, their traditional use of natural resources and their participation in decision-making affecting their territories.</w:t>
      </w:r>
      <w:r>
        <w:t xml:space="preserve"> In addition,  the deteriorating socio-economic situation and effects of gender shift raise the pressure to accept extractivist projects.</w:t>
      </w:r>
      <w:r/>
    </w:p>
    <w:p>
      <w:pPr>
        <w:pStyle w:val="1672"/>
        <w:numPr>
          <w:ilvl w:val="0"/>
          <w:numId w:val="3"/>
        </w:numPr>
        <w:pBdr/>
        <w:spacing/>
        <w:ind/>
        <w:rPr/>
      </w:pPr>
      <w:r>
        <w:t xml:space="preserve">Territories of Traditional Nature Use’ (TTNU) are Russia’s only mechanism resembling something like demarcation of Indigenous territories. They were enshrined in law as far back as 2001. While virtually all Concluding Observations since adopted by CESCR, </w:t>
      </w:r>
      <w:r>
        <w:t xml:space="preserve">CCPR, CERD and other treaty bodies recommended according action, to date TTNU have only been established by regional and local administrations, even though, according to the law itself, the establishment of TTNU is the prerogative of the Federal authoritie</w:t>
      </w:r>
      <w:r>
        <w:t xml:space="preserve">s. Additionally, subsoil resources are issued by the Federal government, and local or regional TTNU status does not override a Federal extraction license. Most TTNU exist in Khanty-Mansi Autonomous Okrug (KhMAO), and in virtually all of them, oil or gas ar</w:t>
      </w:r>
      <w:r>
        <w:t xml:space="preserve">e being extracted. Thus, their actual protective effect is near nil. In KhMAO, where TTNUs are typically owned by singled families, the indigenous owners are required to live within the territory, so that outmigration forced by economic distress (see para </w:t>
      </w:r>
      <w:r>
        <w:fldChar w:fldCharType="begin"/>
      </w:r>
      <w:r>
        <w:instrText xml:space="preserve"> REF _Ref2 \r \r \h </w:instrText>
      </w:r>
      <w:r>
        <w:fldChar w:fldCharType="separate"/>
      </w:r>
      <w:r>
        <w:t xml:space="preserve">39</w:t>
      </w:r>
      <w:r>
        <w:fldChar w:fldCharType="end"/>
      </w:r>
      <w:r>
        <w:t xml:space="preserve">) leads to forfeiting of any land rights.</w:t>
      </w:r>
      <w:r/>
    </w:p>
    <w:p>
      <w:pPr>
        <w:pStyle w:val="1672"/>
        <w:numPr>
          <w:ilvl w:val="0"/>
          <w:numId w:val="3"/>
        </w:numPr>
        <w:pBdr/>
        <w:spacing/>
        <w:ind/>
        <w:rPr/>
      </w:pPr>
      <w:r>
        <w:t xml:space="preserve">Furthermore, t</w:t>
      </w:r>
      <w:r>
        <w:t xml:space="preserve">he principle of free, prior and informed consent (FPIC) of Indigenous communities regarding the decisions affecting their territories and other cases stipulated by the UNDRIP, is absent from Russian legislation. Indigenous communities typically only learn </w:t>
      </w:r>
      <w:r>
        <w:t xml:space="preserve">of a project after a subsoil use licence has already been issued and works have begun. The existing ‘ethnological assessment’ of projects affecting the territories inhabited by Indigenous peoples is not legally binding on extractive companies or the state.</w:t>
      </w:r>
      <w:r/>
    </w:p>
    <w:p>
      <w:pPr>
        <w:pStyle w:val="1672"/>
        <w:numPr>
          <w:ilvl w:val="0"/>
          <w:numId w:val="3"/>
        </w:numPr>
        <w:pBdr/>
        <w:spacing/>
        <w:ind/>
        <w:rPr>
          <w:lang w:val="en-GB" w:eastAsia="zh-CN" w:bidi="hi-IN"/>
        </w:rPr>
      </w:pPr>
      <w:r>
        <w:t xml:space="preserve">Industrial development, climate change and the loss of access to territories and resources have specific impacts on Indigenous women, which is not addressed by state policy:</w:t>
      </w:r>
      <w:r>
        <w:rPr>
          <w:lang w:val="en-GB" w:eastAsia="zh-CN" w:bidi="hi-IN"/>
        </w:rPr>
      </w:r>
    </w:p>
    <w:p>
      <w:pPr>
        <w:pStyle w:val="1622"/>
        <w:numPr>
          <w:ilvl w:val="0"/>
          <w:numId w:val="4"/>
        </w:numPr>
        <w:pBdr/>
        <w:spacing/>
        <w:ind/>
        <w:rPr/>
      </w:pPr>
      <w:r>
        <w:rPr>
          <w:lang w:val="en-GB" w:eastAsia="zh-CN" w:bidi="hi-IN"/>
        </w:rPr>
        <w:t xml:space="preserve">the loss of access to traditional foodstuffs (wild plants, fish, venison), the gathering and processing o</w:t>
      </w:r>
      <w:r>
        <w:rPr>
          <w:lang w:val="en-GB" w:eastAsia="zh-CN" w:bidi="hi-IN"/>
        </w:rPr>
        <w:t xml:space="preserve">f which is largely the responsibility of women, leads to a deterioration in household food security and increased dependence on expensive imported food in remote areas, resulting in deteriorating mental and physical health of themselves and their children;</w:t>
      </w:r>
      <w:r/>
    </w:p>
    <w:p>
      <w:pPr>
        <w:pStyle w:val="1622"/>
        <w:numPr>
          <w:ilvl w:val="0"/>
          <w:numId w:val="4"/>
        </w:numPr>
        <w:pBdr/>
        <w:spacing/>
        <w:ind/>
        <w:rPr/>
      </w:pPr>
      <w:r>
        <w:rPr>
          <w:lang w:val="en-GB" w:eastAsia="zh-CN" w:bidi="hi-IN"/>
        </w:rPr>
        <w:t xml:space="preserve">the inability to perpetuate traditional crafts due environmental degradation and declining animal populations, disrupting the production of items made from fur, bone and birch bark, a sector of high economic importance for indigenous women.</w:t>
      </w:r>
      <w:r/>
    </w:p>
    <w:p>
      <w:pPr>
        <w:pStyle w:val="1623"/>
        <w:pBdr/>
        <w:spacing/>
        <w:ind/>
        <w:rPr>
          <w:lang w:val="en-GB" w:eastAsia="zh-CN" w:bidi="hi-IN"/>
        </w:rPr>
      </w:pPr>
      <w:r/>
      <w:bookmarkStart w:id="24" w:name="__RefHeading___Toc36746_607661269"/>
      <w:r/>
      <w:bookmarkEnd w:id="24"/>
      <w:r>
        <w:rPr>
          <w:lang w:val="en-GB" w:eastAsia="zh-CN" w:bidi="hi-IN"/>
        </w:rPr>
        <w:t xml:space="preserve">Economic and social rights (</w:t>
      </w:r>
      <w:r>
        <w:t xml:space="preserve">CEDAW/C/RUS/CO/9</w:t>
      </w:r>
      <w:r>
        <w:rPr>
          <w:lang w:val="en-GB" w:eastAsia="zh-CN" w:bidi="hi-IN"/>
        </w:rPr>
        <w:t xml:space="preserve">, paras. 36–43)</w:t>
      </w:r>
      <w:r>
        <w:rPr>
          <w:lang w:val="en-GB" w:eastAsia="zh-CN" w:bidi="hi-IN"/>
        </w:rPr>
      </w:r>
    </w:p>
    <w:p>
      <w:pPr>
        <w:pStyle w:val="1672"/>
        <w:numPr>
          <w:ilvl w:val="0"/>
          <w:numId w:val="3"/>
        </w:numPr>
        <w:pBdr/>
        <w:spacing/>
        <w:ind/>
        <w:rPr/>
      </w:pPr>
      <w:r>
        <w:rPr>
          <w:lang w:val="en-GB" w:eastAsia="zh-CN" w:bidi="hi-IN"/>
        </w:rPr>
        <w:t xml:space="preserve">Current statistics on the socio-economic situation of Indigenous peoples are limited to data from the 2020–2021 census. No more recent official data has been published at the time of drafting this report. According to official data from Rosstat</w:t>
      </w:r>
      <w:r>
        <w:rPr>
          <w:rStyle w:val="1663"/>
          <w:lang w:val="en-GB" w:eastAsia="zh-CN" w:bidi="hi-IN"/>
        </w:rPr>
        <w:footnoteReference w:id="46"/>
      </w:r>
      <w:r>
        <w:rPr>
          <w:lang w:val="en-GB" w:eastAsia="zh-CN" w:bidi="hi-IN"/>
        </w:rPr>
        <w:t xml:space="preserve"> :</w:t>
        <w:br/>
        <w:t xml:space="preserve">- the total population of Indigenous peoples of the North, Siberia and the Far East is 262,600 people, of whom women account for 53 per cent (140,000 people); </w:t>
        <w:br/>
        <w:t xml:space="preserve">- only 35 per cent of the total Indigenous population are formally employed;</w:t>
        <w:br/>
        <w:t xml:space="preserve">-  the </w:t>
      </w:r>
      <w:r>
        <w:rPr>
          <w:lang w:val="en-GB" w:eastAsia="zh-CN" w:bidi="hi-IN"/>
        </w:rPr>
        <w:t xml:space="preserve">average household income of Indigenous peoples in remote areas is largely derived from state pensions and benefits (36 per cent) and maintenance payments (30 per cent), whilst wages are the main source of livelihood for only 28 per cent of the population. </w:t>
      </w:r>
      <w:r/>
    </w:p>
    <w:p>
      <w:pPr>
        <w:pStyle w:val="1672"/>
        <w:numPr>
          <w:ilvl w:val="0"/>
          <w:numId w:val="3"/>
        </w:numPr>
        <w:pBdr/>
        <w:spacing/>
        <w:ind/>
        <w:rPr/>
      </w:pPr>
      <w:r>
        <w:t xml:space="preserve">Again, the State party fails to provide data on the economic situation, disaggregated by gender, which makes it impossible to assess the economic situation of women from Indigenous peoples separately from that of men (see Section </w:t>
      </w:r>
      <w:r>
        <w:fldChar w:fldCharType="begin"/>
      </w:r>
      <w:r>
        <w:instrText xml:space="preserve"> REF __RefHeading___Toc3713_3926297173 \r \r \h </w:instrText>
      </w:r>
      <w:r>
        <w:fldChar w:fldCharType="separate"/>
      </w:r>
      <w:r>
        <w:t xml:space="preserve">10</w:t>
      </w:r>
      <w:r>
        <w:fldChar w:fldCharType="end"/>
      </w:r>
      <w:r>
        <w:t xml:space="preserve">).</w:t>
      </w:r>
      <w:r/>
    </w:p>
    <w:p>
      <w:pPr>
        <w:pStyle w:val="1672"/>
        <w:numPr>
          <w:ilvl w:val="0"/>
          <w:numId w:val="3"/>
        </w:numPr>
        <w:pBdr/>
        <w:spacing/>
        <w:ind/>
        <w:rPr/>
      </w:pPr>
      <w:r>
        <w:rPr>
          <w:lang w:val="en-GB" w:eastAsia="zh-CN" w:bidi="hi-IN"/>
        </w:rPr>
        <w:t xml:space="preserve">The war has further accelerated the trend towards a reduction in state funding for support for Indigenous peoples</w:t>
      </w:r>
      <w:r>
        <w:rPr>
          <w:rStyle w:val="1663"/>
          <w:lang w:val="en-GB" w:eastAsia="zh-CN" w:bidi="hi-IN"/>
        </w:rPr>
        <w:footnoteReference w:id="47"/>
      </w:r>
      <w:r>
        <w:rPr>
          <w:lang w:val="en-GB" w:eastAsia="zh-CN" w:bidi="hi-IN"/>
        </w:rPr>
        <w:t xml:space="preserve">: Whilst 2.8 billion roubles were allocated for these purposes in 2013–2018, of which 1 billion came from the federal budget, in 2023 the total volume of subsidies from budgets</w:t>
      </w:r>
      <w:r>
        <w:rPr>
          <w:lang w:val="en-GB" w:eastAsia="zh-CN" w:bidi="hi-IN"/>
        </w:rPr>
        <w:t xml:space="preserve"> at all levels had dropped to 450 million roubles. Furthermore, according to the Accounting Chamber, the beneficiaries of up to 85 per cent of federal budget earmarked for Indigenous peoples are non-indigenous entities, using the funds for their own needs.</w:t>
      </w:r>
      <w:r>
        <w:rPr>
          <w:rStyle w:val="1663"/>
          <w:lang w:val="en-GB" w:eastAsia="zh-CN" w:bidi="hi-IN"/>
        </w:rPr>
        <w:footnoteReference w:id="48"/>
      </w:r>
      <w:r>
        <w:rPr>
          <w:lang w:val="en-GB" w:eastAsia="zh-CN" w:bidi="hi-IN"/>
        </w:rPr>
        <w:t xml:space="preserve"> Only 15.1 per cent went directly to Indigenous organisations.</w:t>
      </w:r>
      <w:r/>
    </w:p>
    <w:p>
      <w:pPr>
        <w:pStyle w:val="1672"/>
        <w:numPr>
          <w:ilvl w:val="0"/>
          <w:numId w:val="3"/>
        </w:numPr>
        <w:pBdr/>
        <w:spacing/>
        <w:ind/>
        <w:rPr/>
      </w:pPr>
      <w:r>
        <w:rPr>
          <w:b/>
          <w:bCs/>
          <w:lang w:val="en-GB" w:eastAsia="zh-CN" w:bidi="hi-IN"/>
        </w:rPr>
        <w:t xml:space="preserve">Healthcare: </w:t>
      </w:r>
      <w:r>
        <w:rPr>
          <w:lang w:val="en-GB" w:eastAsia="zh-CN" w:bidi="hi-IN"/>
        </w:rPr>
        <w:t xml:space="preserve">Despite the Indigenous peoples’ nominal entitlement to free medical care and free medication in rur</w:t>
      </w:r>
      <w:r>
        <w:rPr>
          <w:lang w:val="en-GB" w:eastAsia="zh-CN" w:bidi="hi-IN"/>
        </w:rPr>
        <w:t xml:space="preserve">al areas of the Far North, the number of healthcare and preventative care organisations in their ancestral territories is critically unevenly distributed across the regions (ranging from three facilities in the Republic of Karelia to 529 in Khabarovsk Krai</w:t>
      </w:r>
      <w:r>
        <w:rPr>
          <w:rStyle w:val="1663"/>
          <w:lang w:val="en-GB" w:eastAsia="zh-CN" w:bidi="hi-IN"/>
        </w:rPr>
        <w:footnoteReference w:id="49"/>
      </w:r>
      <w:r>
        <w:rPr>
          <w:lang w:val="en-GB" w:eastAsia="zh-CN" w:bidi="hi-IN"/>
        </w:rPr>
        <w:t xml:space="preserve"> ). In many areas, medical infrastructure is either non-existent or requires patients to be transported for many hours. H</w:t>
      </w:r>
      <w:r>
        <w:t xml:space="preserve">ealthcare lies almost exclusively on the shoulders of women, especially reproductive health. Women lack the right and opportunities to give birth within their  communities. Almost all facilities are located outside and run by non-Indigenous personal</w:t>
      </w:r>
      <w:r/>
    </w:p>
    <w:p>
      <w:pPr>
        <w:pStyle w:val="1672"/>
        <w:numPr>
          <w:ilvl w:val="0"/>
          <w:numId w:val="3"/>
        </w:numPr>
        <w:pBdr/>
        <w:spacing/>
        <w:ind/>
        <w:rPr/>
      </w:pPr>
      <w:r>
        <w:rPr>
          <w:b/>
          <w:bCs/>
          <w:lang w:val="en-GB" w:eastAsia="zh-CN" w:bidi="hi-IN"/>
        </w:rPr>
        <w:t xml:space="preserve">Education: </w:t>
      </w:r>
      <w:r>
        <w:rPr>
          <w:b w:val="0"/>
          <w:bCs w:val="0"/>
          <w:lang w:val="en-GB" w:eastAsia="zh-CN" w:bidi="hi-IN"/>
        </w:rPr>
        <w:t xml:space="preserve">Indigenous c</w:t>
      </w:r>
      <w:r>
        <w:rPr>
          <w:lang w:val="en-GB" w:eastAsia="zh-CN" w:bidi="hi-IN"/>
        </w:rPr>
        <w:t xml:space="preserve">hildren in remote settlemen</w:t>
      </w:r>
      <w:r>
        <w:rPr>
          <w:lang w:val="en-GB" w:eastAsia="zh-CN" w:bidi="hi-IN"/>
        </w:rPr>
        <w:t xml:space="preserve">ts are generally educated in boarding schools with limited educational opportunities and away from their families. In Russia, opportunities to learn the languages of Indigenous peoples and to be taught in those languages are steadily being reduced. Accordi</w:t>
      </w:r>
      <w:r>
        <w:rPr>
          <w:lang w:val="en-GB" w:eastAsia="zh-CN" w:bidi="hi-IN"/>
        </w:rPr>
        <w:t xml:space="preserve">ng to the 2020 census, the number of speakers of a number of Indigenous languages (Selkup, Khanty, Yukaghir, Even, Kumandin, Sami, Telengit, Veps, Chukchi, Eskimo (Yupik), Kets, Tofalar) has fallen by between 2 per cent and 94 per cent over the past decade</w:t>
      </w:r>
      <w:r>
        <w:rPr>
          <w:rStyle w:val="1663"/>
          <w:lang w:val="en-GB" w:eastAsia="zh-CN" w:bidi="hi-IN"/>
        </w:rPr>
        <w:footnoteReference w:id="50"/>
      </w:r>
      <w:r>
        <w:rPr>
          <w:lang w:val="en-GB" w:eastAsia="zh-CN" w:bidi="hi-IN"/>
        </w:rPr>
        <w:t xml:space="preserve"> . Language loss directly affects the cultural rights of women and girls from Indigenous and minority ethnic groups as the custodians and transmitters of traditional knowledge within the family.</w:t>
      </w:r>
      <w:r/>
    </w:p>
    <w:p>
      <w:pPr>
        <w:pStyle w:val="1623"/>
        <w:pBdr/>
        <w:spacing/>
        <w:ind/>
        <w:rPr>
          <w:lang w:val="en-GB" w:eastAsia="zh-CN" w:bidi="hi-IN"/>
        </w:rPr>
      </w:pPr>
      <w:r/>
      <w:bookmarkStart w:id="25" w:name="__RefHeading___Toc3803_3926297173"/>
      <w:r/>
      <w:bookmarkEnd w:id="25"/>
      <w:r>
        <w:rPr>
          <w:lang w:val="en-GB" w:eastAsia="zh-CN" w:bidi="hi-IN"/>
        </w:rPr>
        <w:t xml:space="preserve">Register of persons belonging to Indigenous minority peoples (</w:t>
      </w:r>
      <w:r>
        <w:t xml:space="preserve">CEDAW/C/RUS/CO/9</w:t>
      </w:r>
      <w:r>
        <w:rPr>
          <w:lang w:val="en-GB" w:eastAsia="zh-CN" w:bidi="hi-IN"/>
        </w:rPr>
        <w:t xml:space="preserve">, paras. 44–45)</w:t>
      </w:r>
      <w:r>
        <w:rPr>
          <w:lang w:val="en-GB" w:eastAsia="zh-CN" w:bidi="hi-IN"/>
        </w:rPr>
      </w:r>
    </w:p>
    <w:p>
      <w:pPr>
        <w:pStyle w:val="1672"/>
        <w:numPr>
          <w:ilvl w:val="0"/>
          <w:numId w:val="3"/>
        </w:numPr>
        <w:pBdr/>
        <w:spacing/>
        <w:ind/>
        <w:rPr>
          <w:lang w:val="en-GB" w:eastAsia="zh-CN" w:bidi="hi-IN"/>
        </w:rPr>
      </w:pPr>
      <w:r>
        <w:t xml:space="preserve">In 2021, CEDAW recommended that the State f</w:t>
      </w:r>
      <w:r>
        <w:t xml:space="preserve">acilitate the registration of women and girls from Indigenous minority peoples in the unified register established by Federal Law No. 11-FZ of 6 February 2020 (amending Federal Law No. 82-FZ ‘On Guarantees of the Rights of Indigenous minority peoples of th</w:t>
      </w:r>
      <w:r>
        <w:t xml:space="preserve">e Russian Federation’), and, at the same time, to ensure and protect the collective rights of women from Indigenous minority peoples to their traditional lands and resources, as well as their effective participation in decision-making processes (para. 45).</w:t>
      </w:r>
      <w:r>
        <w:rPr>
          <w:lang w:val="en-GB" w:eastAsia="zh-CN" w:bidi="hi-IN"/>
        </w:rPr>
      </w:r>
    </w:p>
    <w:p>
      <w:pPr>
        <w:pStyle w:val="1672"/>
        <w:numPr>
          <w:ilvl w:val="0"/>
          <w:numId w:val="3"/>
        </w:numPr>
        <w:pBdr/>
        <w:spacing/>
        <w:ind/>
        <w:rPr/>
      </w:pPr>
      <w:r>
        <w:t xml:space="preserve">The tenth periodic report </w:t>
      </w:r>
      <w:r>
        <w:t xml:space="preserve">merely says </w:t>
      </w:r>
      <w:r>
        <w:t xml:space="preserve">that a register has been established. </w:t>
      </w:r>
      <w:r>
        <w:t xml:space="preserve">This </w:t>
      </w:r>
      <w:r>
        <w:t xml:space="preserve">does not amount to the realisation of either the collective or individual rights of Indigenous peoples, including women. Instead,</w:t>
      </w:r>
      <w:r>
        <w:rPr>
          <w:lang w:val="en-GB" w:eastAsia="zh-CN" w:bidi="hi-IN"/>
        </w:rPr>
        <w:t xml:space="preserve"> there is significant concern, that the main purpose of the register is to further reduce the number of persons eligible for land and resource rights, already significantly narrowed by the other existing lists (see paragraph </w:t>
      </w:r>
      <w:r>
        <w:fldChar w:fldCharType="begin"/>
      </w:r>
      <w:r>
        <w:instrText xml:space="preserve"> REF _Ref1 \r \r \h </w:instrText>
      </w:r>
      <w:r>
        <w:fldChar w:fldCharType="separate"/>
      </w:r>
      <w:r>
        <w:t xml:space="preserve">6</w:t>
      </w:r>
      <w:r>
        <w:fldChar w:fldCharType="end"/>
      </w:r>
      <w:r>
        <w:rPr>
          <w:lang w:val="en-GB" w:eastAsia="zh-CN" w:bidi="hi-IN"/>
        </w:rPr>
        <w:t xml:space="preserve">).</w:t>
      </w:r>
      <w:r/>
    </w:p>
    <w:p>
      <w:pPr>
        <w:pStyle w:val="1672"/>
        <w:numPr>
          <w:ilvl w:val="0"/>
          <w:numId w:val="3"/>
        </w:numPr>
        <w:pBdr/>
        <w:spacing/>
        <w:ind/>
        <w:rPr/>
      </w:pPr>
      <w:r>
        <w:rPr>
          <w:lang w:val="en-GB" w:eastAsia="zh-CN" w:bidi="hi-IN"/>
        </w:rPr>
        <w:t xml:space="preserve">The register is an administrative mechanism for recording individual</w:t>
      </w:r>
      <w:r>
        <w:rPr>
          <w:lang w:val="en-GB" w:eastAsia="zh-CN" w:bidi="hi-IN"/>
        </w:rPr>
        <w:t xml:space="preserve">s for the purpose of obtaining individualised benefits (the right to hunt, fish, tax relief, etc.), thus neglecting or even undermining Indigenous peoples collective rights to land, traditional use of natural resources or participation in decision-making. </w:t>
      </w:r>
      <w:r/>
    </w:p>
    <w:p>
      <w:pPr>
        <w:pStyle w:val="1672"/>
        <w:numPr>
          <w:ilvl w:val="0"/>
          <w:numId w:val="3"/>
        </w:numPr>
        <w:pBdr/>
        <w:spacing/>
        <w:ind/>
        <w:rPr/>
      </w:pPr>
      <w:r>
        <w:rPr>
          <w:lang w:val="en-GB" w:eastAsia="zh-CN" w:bidi="hi-IN"/>
        </w:rPr>
        <w:t xml:space="preserve">The registration procedure requires documentary proof of their ethnic identity</w:t>
      </w:r>
      <w:r>
        <w:rPr>
          <w:rStyle w:val="1663"/>
          <w:lang w:val="en-GB" w:eastAsia="zh-CN" w:bidi="hi-IN"/>
        </w:rPr>
        <w:footnoteReference w:id="51"/>
      </w:r>
      <w:r>
        <w:rPr>
          <w:lang w:val="en-GB" w:eastAsia="zh-CN" w:bidi="hi-IN"/>
        </w:rPr>
        <w:t xml:space="preserve">,  which for Indigenous women in remote settlements presents a significant bureaucratic barrier in its own right.</w:t>
      </w:r>
      <w:r/>
    </w:p>
    <w:p>
      <w:pPr>
        <w:pStyle w:val="1672"/>
        <w:numPr>
          <w:ilvl w:val="0"/>
          <w:numId w:val="3"/>
        </w:numPr>
        <w:pBdr/>
        <w:spacing/>
        <w:ind/>
        <w:rPr/>
      </w:pPr>
      <w:r>
        <w:rPr>
          <w:lang w:val="en-GB" w:eastAsia="zh-CN" w:bidi="hi-IN"/>
        </w:rPr>
        <w:t xml:space="preserve">Conditions are often formulated in such a way as to effectively exclude those </w:t>
      </w:r>
      <w:r>
        <w:rPr>
          <w:lang w:val="en-GB" w:eastAsia="zh-CN" w:bidi="hi-IN"/>
        </w:rPr>
        <w:t xml:space="preserve">from benefits, </w:t>
      </w:r>
      <w:r>
        <w:rPr>
          <w:lang w:val="en-GB" w:eastAsia="zh-CN" w:bidi="hi-IN"/>
        </w:rPr>
        <w:t xml:space="preserve">who lead a mixed lifestyle or live outside formally designated ‘traditional places of residence’, that is, a significant proportion of Indigenous women who have been forced to move to cities as a result of the processes described in Sections </w:t>
      </w:r>
      <w:r>
        <w:rPr>
          <w:lang w:val="en-GB" w:eastAsia="zh-CN" w:bidi="hi-IN"/>
        </w:rPr>
        <w:fldChar w:fldCharType="begin"/>
      </w:r>
      <w:r>
        <w:rPr>
          <w:lang w:val="en-GB" w:eastAsia="zh-CN" w:bidi="hi-IN"/>
        </w:rPr>
        <w:instrText xml:space="preserve"> REF __RefHeading___Toc1770_3067546167 \r \r \h </w:instrText>
      </w:r>
      <w:r>
        <w:rPr>
          <w:lang w:val="en-GB" w:eastAsia="zh-CN" w:bidi="hi-IN"/>
        </w:rPr>
        <w:fldChar w:fldCharType="separate"/>
      </w:r>
      <w:r>
        <w:rPr>
          <w:lang w:val="en-GB" w:eastAsia="zh-CN" w:bidi="hi-IN"/>
        </w:rPr>
        <w:t xml:space="preserve">5.2</w:t>
      </w:r>
      <w:r>
        <w:rPr>
          <w:lang w:val="en-GB" w:eastAsia="zh-CN" w:bidi="hi-IN"/>
        </w:rPr>
        <w:fldChar w:fldCharType="end"/>
      </w:r>
      <w:r>
        <w:rPr>
          <w:lang w:val="en-GB" w:eastAsia="zh-CN" w:bidi="hi-IN"/>
        </w:rPr>
        <w:t xml:space="preserve"> and </w:t>
      </w:r>
      <w:r>
        <w:rPr>
          <w:lang w:val="en-GB" w:eastAsia="zh-CN" w:bidi="hi-IN"/>
        </w:rPr>
        <w:fldChar w:fldCharType="begin"/>
      </w:r>
      <w:r>
        <w:rPr>
          <w:lang w:val="en-GB" w:eastAsia="zh-CN" w:bidi="hi-IN"/>
        </w:rPr>
        <w:instrText xml:space="preserve"> REF __RefHeading___Toc36746_607661269 \r \r \h </w:instrText>
      </w:r>
      <w:r>
        <w:rPr>
          <w:lang w:val="en-GB" w:eastAsia="zh-CN" w:bidi="hi-IN"/>
        </w:rPr>
        <w:fldChar w:fldCharType="separate"/>
      </w:r>
      <w:r>
        <w:rPr>
          <w:lang w:val="en-GB" w:eastAsia="zh-CN" w:bidi="hi-IN"/>
        </w:rPr>
        <w:t xml:space="preserve">8</w:t>
      </w:r>
      <w:r>
        <w:rPr>
          <w:lang w:val="en-GB" w:eastAsia="zh-CN" w:bidi="hi-IN"/>
        </w:rPr>
        <w:fldChar w:fldCharType="end"/>
      </w:r>
      <w:r>
        <w:rPr>
          <w:lang w:val="en-GB" w:eastAsia="zh-CN" w:bidi="hi-IN"/>
        </w:rPr>
        <w:t xml:space="preserve">.</w:t>
      </w:r>
      <w:r/>
    </w:p>
    <w:p>
      <w:pPr>
        <w:pStyle w:val="1672"/>
        <w:numPr>
          <w:ilvl w:val="0"/>
          <w:numId w:val="3"/>
        </w:numPr>
        <w:pBdr/>
        <w:spacing/>
        <w:ind/>
        <w:rPr>
          <w:lang w:val="en-GB" w:eastAsia="zh-CN" w:bidi="hi-IN"/>
        </w:rPr>
      </w:pPr>
      <w:r>
        <w:rPr>
          <w:lang w:val="en-GB" w:eastAsia="zh-CN" w:bidi="hi-IN"/>
        </w:rPr>
        <w:t xml:space="preserve">Ultimately, to our information, only a minority of Indigenous women is thus far included in the register, and the State party has ceased publish</w:t>
      </w:r>
      <w:r>
        <w:rPr>
          <w:lang w:val="en-GB" w:eastAsia="zh-CN" w:bidi="hi-IN"/>
        </w:rPr>
        <w:t xml:space="preserve">ing updated figures</w:t>
      </w:r>
      <w:r>
        <w:rPr>
          <w:lang w:val="en-GB" w:eastAsia="zh-CN" w:bidi="hi-IN"/>
        </w:rPr>
        <w:t xml:space="preserve">. </w:t>
      </w:r>
      <w:r>
        <w:rPr>
          <w:lang w:val="en-GB" w:eastAsia="zh-CN" w:bidi="hi-IN"/>
        </w:rPr>
      </w:r>
    </w:p>
    <w:p>
      <w:pPr>
        <w:pStyle w:val="1623"/>
        <w:pBdr/>
        <w:spacing/>
        <w:ind/>
        <w:rPr>
          <w:lang w:val="en-GB" w:eastAsia="zh-CN" w:bidi="hi-IN"/>
        </w:rPr>
      </w:pPr>
      <w:r/>
      <w:bookmarkStart w:id="26" w:name="__RefHeading___Toc3713_3926297173"/>
      <w:r/>
      <w:bookmarkEnd w:id="26"/>
      <w:r>
        <w:rPr>
          <w:lang w:val="en-GB" w:eastAsia="zh-CN" w:bidi="hi-IN"/>
        </w:rPr>
        <w:t xml:space="preserve">Lack of disaggregated data (</w:t>
      </w:r>
      <w:r>
        <w:t xml:space="preserve">CEDAW/C/RUS/CO/9</w:t>
      </w:r>
      <w:r>
        <w:rPr>
          <w:lang w:val="en-GB" w:eastAsia="zh-CN" w:bidi="hi-IN"/>
        </w:rPr>
        <w:t xml:space="preserve">, para. 58)</w:t>
      </w:r>
      <w:r>
        <w:rPr>
          <w:lang w:val="en-GB" w:eastAsia="zh-CN" w:bidi="hi-IN"/>
        </w:rPr>
      </w:r>
    </w:p>
    <w:p>
      <w:pPr>
        <w:pStyle w:val="1672"/>
        <w:numPr>
          <w:ilvl w:val="0"/>
          <w:numId w:val="3"/>
        </w:numPr>
        <w:pBdr/>
        <w:spacing/>
        <w:ind/>
        <w:rPr>
          <w:lang w:val="en-GB" w:eastAsia="zh-CN" w:bidi="hi-IN"/>
        </w:rPr>
      </w:pPr>
      <w:r>
        <w:t xml:space="preserve">In 2021, CEDAW expressed concern at the lack of data dis</w:t>
      </w:r>
      <w:r>
        <w:t xml:space="preserve">aggregated by sex, age, ethnicity, disability, geographical location and socio-economic status as other treaty bodies. In doing so, it joined CESCR and CERD and other treaty bodies who have expressed the same concern many times in the past. With regard to </w:t>
      </w:r>
      <w:r>
        <w:t xml:space="preserve">Indigenous </w:t>
      </w:r>
      <w:r>
        <w:t xml:space="preserve">women, </w:t>
      </w:r>
      <w:r>
        <w:t xml:space="preserve">the State party fails to publish any such data </w:t>
      </w:r>
      <w:r>
        <w:t xml:space="preserve">on virtually </w:t>
      </w:r>
      <w:r>
        <w:t xml:space="preserve">all </w:t>
      </w:r>
      <w:r>
        <w:t xml:space="preserve">of the issues discussed above.</w:t>
      </w:r>
      <w:r>
        <w:rPr>
          <w:lang w:val="en-GB" w:eastAsia="zh-CN" w:bidi="hi-IN"/>
        </w:rPr>
      </w:r>
    </w:p>
    <w:p>
      <w:pPr>
        <w:pStyle w:val="1672"/>
        <w:numPr>
          <w:ilvl w:val="0"/>
          <w:numId w:val="3"/>
        </w:numPr>
        <w:pBdr/>
        <w:spacing/>
        <w:ind/>
        <w:rPr>
          <w:lang w:val="en-GB" w:eastAsia="zh-CN" w:bidi="hi-IN"/>
        </w:rPr>
      </w:pPr>
      <w:r>
        <w:rPr>
          <w:lang w:val="en-GB" w:eastAsia="zh-CN" w:bidi="hi-IN"/>
        </w:rPr>
        <w:t xml:space="preserve">In particular, there is a lack of official disaggregated data on:</w:t>
      </w:r>
      <w:r>
        <w:rPr>
          <w:lang w:val="en-GB" w:eastAsia="zh-CN" w:bidi="hi-IN"/>
        </w:rPr>
      </w:r>
    </w:p>
    <w:p>
      <w:pPr>
        <w:pStyle w:val="1622"/>
        <w:numPr>
          <w:ilvl w:val="0"/>
          <w:numId w:val="5"/>
        </w:numPr>
        <w:pBdr/>
        <w:spacing/>
        <w:ind/>
        <w:rPr/>
      </w:pPr>
      <w:r>
        <w:rPr>
          <w:lang w:val="en-GB" w:eastAsia="zh-CN" w:bidi="hi-IN"/>
        </w:rPr>
        <w:t xml:space="preserve">the number of men mobilised or recruited and incapacitated or killed in action in the war against Ukraine, broken down by ethnicity and gender (Section </w:t>
      </w:r>
      <w:r>
        <w:rPr>
          <w:lang w:val="en-GB" w:eastAsia="zh-CN" w:bidi="hi-IN"/>
        </w:rPr>
        <w:fldChar w:fldCharType="begin"/>
      </w:r>
      <w:r>
        <w:rPr>
          <w:lang w:val="en-GB" w:eastAsia="zh-CN" w:bidi="hi-IN"/>
        </w:rPr>
        <w:instrText xml:space="preserve"> REF __RefHeading___Toc2863_4112689729 \r \r \h </w:instrText>
      </w:r>
      <w:r>
        <w:rPr>
          <w:lang w:val="en-GB" w:eastAsia="zh-CN" w:bidi="hi-IN"/>
        </w:rPr>
        <w:fldChar w:fldCharType="separate"/>
      </w:r>
      <w:r>
        <w:rPr>
          <w:lang w:val="en-GB" w:eastAsia="zh-CN" w:bidi="hi-IN"/>
        </w:rPr>
        <w:t xml:space="preserve">5</w:t>
      </w:r>
      <w:r>
        <w:rPr>
          <w:lang w:val="en-GB" w:eastAsia="zh-CN" w:bidi="hi-IN"/>
        </w:rPr>
        <w:fldChar w:fldCharType="end"/>
      </w:r>
      <w:r>
        <w:rPr>
          <w:lang w:val="en-GB" w:eastAsia="zh-CN" w:bidi="hi-IN"/>
        </w:rPr>
        <w:t xml:space="preserve">, para </w:t>
      </w:r>
      <w:r>
        <w:rPr>
          <w:lang w:val="en-GB" w:eastAsia="zh-CN" w:bidi="hi-IN"/>
        </w:rPr>
        <w:fldChar w:fldCharType="begin"/>
      </w:r>
      <w:r>
        <w:rPr>
          <w:lang w:val="en-GB" w:eastAsia="zh-CN" w:bidi="hi-IN"/>
        </w:rPr>
        <w:instrText xml:space="preserve"> REF __RefNumPara__3336_3035896518 \r \r \h </w:instrText>
      </w:r>
      <w:r>
        <w:rPr>
          <w:lang w:val="en-GB" w:eastAsia="zh-CN" w:bidi="hi-IN"/>
        </w:rPr>
        <w:fldChar w:fldCharType="separate"/>
      </w:r>
      <w:r>
        <w:rPr>
          <w:lang w:val="en-GB" w:eastAsia="zh-CN" w:bidi="hi-IN"/>
        </w:rPr>
        <w:t xml:space="preserve">26</w:t>
      </w:r>
      <w:r>
        <w:rPr>
          <w:lang w:val="en-GB" w:eastAsia="zh-CN" w:bidi="hi-IN"/>
        </w:rPr>
        <w:fldChar w:fldCharType="end"/>
      </w:r>
      <w:r>
        <w:rPr>
          <w:lang w:val="en-GB" w:eastAsia="zh-CN" w:bidi="hi-IN"/>
        </w:rPr>
        <w:t xml:space="preserve">);</w:t>
      </w:r>
      <w:r/>
    </w:p>
    <w:p>
      <w:pPr>
        <w:pStyle w:val="1622"/>
        <w:numPr>
          <w:ilvl w:val="0"/>
          <w:numId w:val="5"/>
        </w:numPr>
        <w:pBdr/>
        <w:spacing/>
        <w:ind/>
        <w:rPr/>
      </w:pPr>
      <w:r>
        <w:rPr>
          <w:lang w:val="en-GB" w:eastAsia="zh-CN" w:bidi="hi-IN"/>
        </w:rPr>
        <w:t xml:space="preserve">the number of women who have become the sole breadwinners of their families as a result of the mobilisation or death of men (Section </w:t>
      </w:r>
      <w:r>
        <w:rPr>
          <w:lang w:val="en-GB" w:eastAsia="zh-CN" w:bidi="hi-IN"/>
        </w:rPr>
        <w:fldChar w:fldCharType="begin"/>
      </w:r>
      <w:r>
        <w:rPr>
          <w:lang w:val="en-GB" w:eastAsia="zh-CN" w:bidi="hi-IN"/>
        </w:rPr>
        <w:instrText xml:space="preserve"> REF __RefHeading___Toc2863_4112689729 \r \r \h </w:instrText>
      </w:r>
      <w:r>
        <w:rPr>
          <w:lang w:val="en-GB" w:eastAsia="zh-CN" w:bidi="hi-IN"/>
        </w:rPr>
        <w:fldChar w:fldCharType="separate"/>
      </w:r>
      <w:r>
        <w:rPr>
          <w:lang w:val="en-GB" w:eastAsia="zh-CN" w:bidi="hi-IN"/>
        </w:rPr>
        <w:t xml:space="preserve">5</w:t>
      </w:r>
      <w:r>
        <w:rPr>
          <w:lang w:val="en-GB" w:eastAsia="zh-CN" w:bidi="hi-IN"/>
        </w:rPr>
        <w:fldChar w:fldCharType="end"/>
      </w:r>
      <w:r>
        <w:rPr>
          <w:lang w:val="en-GB" w:eastAsia="zh-CN" w:bidi="hi-IN"/>
        </w:rPr>
        <w:t xml:space="preserve">, para </w:t>
      </w:r>
      <w:r>
        <w:rPr>
          <w:lang w:val="en-GB" w:eastAsia="zh-CN" w:bidi="hi-IN"/>
        </w:rPr>
        <w:fldChar w:fldCharType="begin"/>
      </w:r>
      <w:r>
        <w:rPr>
          <w:lang w:val="en-GB" w:eastAsia="zh-CN" w:bidi="hi-IN"/>
        </w:rPr>
        <w:instrText xml:space="preserve"> REF __RefNumPara__3338_3035896518 \r \r \h </w:instrText>
      </w:r>
      <w:r>
        <w:rPr>
          <w:lang w:val="en-GB" w:eastAsia="zh-CN" w:bidi="hi-IN"/>
        </w:rPr>
        <w:fldChar w:fldCharType="separate"/>
      </w:r>
      <w:r>
        <w:rPr>
          <w:lang w:val="en-GB" w:eastAsia="zh-CN" w:bidi="hi-IN"/>
        </w:rPr>
        <w:t xml:space="preserve">36</w:t>
      </w:r>
      <w:r>
        <w:rPr>
          <w:lang w:val="en-GB" w:eastAsia="zh-CN" w:bidi="hi-IN"/>
        </w:rPr>
        <w:fldChar w:fldCharType="end"/>
      </w:r>
      <w:r>
        <w:rPr>
          <w:lang w:val="en-GB" w:eastAsia="zh-CN" w:bidi="hi-IN"/>
        </w:rPr>
        <w:t xml:space="preserve">);</w:t>
      </w:r>
      <w:r/>
    </w:p>
    <w:p>
      <w:pPr>
        <w:pStyle w:val="1622"/>
        <w:numPr>
          <w:ilvl w:val="0"/>
          <w:numId w:val="5"/>
        </w:numPr>
        <w:pBdr/>
        <w:spacing/>
        <w:ind/>
        <w:rPr/>
      </w:pPr>
      <w:r>
        <w:rPr>
          <w:lang w:val="en-GB" w:eastAsia="zh-CN" w:bidi="hi-IN"/>
        </w:rPr>
        <w:t xml:space="preserve">the gender gap in employment, pay and access to state support measures for traditional economic sectors of ethnic minority communities (Section </w:t>
      </w:r>
      <w:r>
        <w:rPr>
          <w:lang w:val="en-GB" w:eastAsia="zh-CN" w:bidi="hi-IN"/>
        </w:rPr>
        <w:fldChar w:fldCharType="begin"/>
      </w:r>
      <w:r>
        <w:rPr>
          <w:lang w:val="en-GB" w:eastAsia="zh-CN" w:bidi="hi-IN"/>
        </w:rPr>
        <w:instrText xml:space="preserve"> REF __RefHeading___Toc36746_607661269 \r \r \h </w:instrText>
      </w:r>
      <w:r>
        <w:rPr>
          <w:lang w:val="en-GB" w:eastAsia="zh-CN" w:bidi="hi-IN"/>
        </w:rPr>
        <w:fldChar w:fldCharType="separate"/>
      </w:r>
      <w:r>
        <w:rPr>
          <w:lang w:val="en-GB" w:eastAsia="zh-CN" w:bidi="hi-IN"/>
        </w:rPr>
        <w:t xml:space="preserve">8</w:t>
      </w:r>
      <w:r>
        <w:rPr>
          <w:lang w:val="en-GB" w:eastAsia="zh-CN" w:bidi="hi-IN"/>
        </w:rPr>
        <w:fldChar w:fldCharType="end"/>
      </w:r>
      <w:r>
        <w:rPr>
          <w:lang w:val="en-GB" w:eastAsia="zh-CN" w:bidi="hi-IN"/>
        </w:rPr>
        <w:t xml:space="preserve">);</w:t>
      </w:r>
      <w:r/>
    </w:p>
    <w:p>
      <w:pPr>
        <w:pStyle w:val="1622"/>
        <w:numPr>
          <w:ilvl w:val="0"/>
          <w:numId w:val="5"/>
        </w:numPr>
        <w:pBdr/>
        <w:spacing/>
        <w:ind/>
        <w:rPr/>
      </w:pPr>
      <w:r>
        <w:rPr>
          <w:lang w:val="en-GB" w:eastAsia="zh-CN" w:bidi="hi-IN"/>
        </w:rPr>
        <w:t xml:space="preserve">the number of indigenous women who have experienced domestic violence and their access to specialised support in their traditional places of residence (Section </w:t>
      </w:r>
      <w:r>
        <w:rPr>
          <w:lang w:val="en-GB" w:eastAsia="zh-CN" w:bidi="hi-IN"/>
        </w:rPr>
        <w:fldChar w:fldCharType="begin"/>
      </w:r>
      <w:r>
        <w:rPr>
          <w:lang w:val="en-GB" w:eastAsia="zh-CN" w:bidi="hi-IN"/>
        </w:rPr>
        <w:instrText xml:space="preserve"> REF __RefNumPara__3340_3035896518 \r \r \h </w:instrText>
      </w:r>
      <w:r>
        <w:rPr>
          <w:lang w:val="en-GB" w:eastAsia="zh-CN" w:bidi="hi-IN"/>
        </w:rPr>
        <w:fldChar w:fldCharType="separate"/>
      </w:r>
      <w:r>
        <w:rPr>
          <w:lang w:val="en-GB" w:eastAsia="zh-CN" w:bidi="hi-IN"/>
        </w:rPr>
        <w:t xml:space="preserve">40</w:t>
      </w:r>
      <w:r>
        <w:rPr>
          <w:lang w:val="en-GB" w:eastAsia="zh-CN" w:bidi="hi-IN"/>
        </w:rPr>
        <w:fldChar w:fldCharType="end"/>
      </w:r>
      <w:r>
        <w:rPr>
          <w:lang w:val="en-GB" w:eastAsia="zh-CN" w:bidi="hi-IN"/>
        </w:rPr>
        <w:t xml:space="preserve">);</w:t>
      </w:r>
      <w:r/>
    </w:p>
    <w:p>
      <w:pPr>
        <w:pStyle w:val="1622"/>
        <w:numPr>
          <w:ilvl w:val="0"/>
          <w:numId w:val="5"/>
        </w:numPr>
        <w:pBdr/>
        <w:spacing/>
        <w:ind/>
        <w:rPr/>
      </w:pPr>
      <w:r>
        <w:rPr>
          <w:lang w:val="en-GB" w:eastAsia="zh-CN" w:bidi="hi-IN"/>
        </w:rPr>
        <w:t xml:space="preserve">the number of women and girls from Indigenous and minority communities registered in the unified register, as well as the impact of registration on the realisation of their rights (Section </w:t>
      </w:r>
      <w:r>
        <w:rPr>
          <w:lang w:val="en-GB" w:eastAsia="zh-CN" w:bidi="hi-IN"/>
        </w:rPr>
        <w:fldChar w:fldCharType="begin"/>
      </w:r>
      <w:r>
        <w:rPr>
          <w:lang w:val="en-GB" w:eastAsia="zh-CN" w:bidi="hi-IN"/>
        </w:rPr>
        <w:instrText xml:space="preserve"> REF __RefHeading___Toc3803_3926297173 \r \r \h </w:instrText>
      </w:r>
      <w:r>
        <w:rPr>
          <w:lang w:val="en-GB" w:eastAsia="zh-CN" w:bidi="hi-IN"/>
        </w:rPr>
        <w:fldChar w:fldCharType="separate"/>
      </w:r>
      <w:r>
        <w:rPr>
          <w:lang w:val="en-GB" w:eastAsia="zh-CN" w:bidi="hi-IN"/>
        </w:rPr>
        <w:t xml:space="preserve">9</w:t>
      </w:r>
      <w:r>
        <w:rPr>
          <w:lang w:val="en-GB" w:eastAsia="zh-CN" w:bidi="hi-IN"/>
        </w:rPr>
        <w:fldChar w:fldCharType="end"/>
      </w:r>
      <w:r>
        <w:rPr>
          <w:lang w:val="en-GB" w:eastAsia="zh-CN" w:bidi="hi-IN"/>
        </w:rPr>
        <w:t xml:space="preserve">);</w:t>
      </w:r>
      <w:r/>
    </w:p>
    <w:p>
      <w:pPr>
        <w:pStyle w:val="1622"/>
        <w:numPr>
          <w:ilvl w:val="0"/>
          <w:numId w:val="5"/>
        </w:numPr>
        <w:pBdr/>
        <w:spacing/>
        <w:ind/>
        <w:rPr/>
      </w:pPr>
      <w:r>
        <w:rPr>
          <w:lang w:val="en-GB" w:eastAsia="zh-CN" w:bidi="hi-IN"/>
        </w:rPr>
        <w:t xml:space="preserve">the representation of Indigenous women in government bodies and advisory councils at regional and local levels (section </w:t>
      </w:r>
      <w:r>
        <w:rPr>
          <w:lang w:val="en-GB" w:eastAsia="zh-CN" w:bidi="hi-IN"/>
        </w:rPr>
        <w:fldChar w:fldCharType="begin"/>
      </w:r>
      <w:r>
        <w:rPr>
          <w:lang w:val="en-GB" w:eastAsia="zh-CN" w:bidi="hi-IN"/>
        </w:rPr>
        <w:instrText xml:space="preserve"> REF __RefHeading___Toc2865_4112689729 \r \r \h </w:instrText>
      </w:r>
      <w:r>
        <w:rPr>
          <w:lang w:val="en-GB" w:eastAsia="zh-CN" w:bidi="hi-IN"/>
        </w:rPr>
        <w:fldChar w:fldCharType="separate"/>
      </w:r>
      <w:r>
        <w:rPr>
          <w:lang w:val="en-GB" w:eastAsia="zh-CN" w:bidi="hi-IN"/>
        </w:rPr>
        <w:t xml:space="preserve">6</w:t>
      </w:r>
      <w:r>
        <w:rPr>
          <w:lang w:val="en-GB" w:eastAsia="zh-CN" w:bidi="hi-IN"/>
        </w:rPr>
        <w:fldChar w:fldCharType="end"/>
      </w:r>
      <w:r>
        <w:rPr>
          <w:lang w:val="en-GB" w:eastAsia="zh-CN" w:bidi="hi-IN"/>
        </w:rPr>
        <w:t xml:space="preserve">).</w:t>
      </w:r>
      <w:r/>
    </w:p>
    <w:p>
      <w:pPr>
        <w:pStyle w:val="1622"/>
        <w:pBdr/>
        <w:spacing/>
        <w:ind/>
        <w:rPr/>
      </w:pPr>
      <w:r/>
      <w:r>
        <w:br w:type="page" w:clear="all"/>
      </w:r>
      <w:r/>
    </w:p>
    <w:p>
      <w:pPr>
        <w:pStyle w:val="1623"/>
        <w:numPr>
          <w:ilvl w:val="0"/>
          <w:numId w:val="5"/>
        </w:numPr>
        <w:pBdr/>
        <w:spacing w:after="80" w:before="0"/>
        <w:ind/>
        <w:rPr>
          <w:lang w:val="en-GB" w:eastAsia="zh-CN" w:bidi="hi-IN"/>
        </w:rPr>
      </w:pPr>
      <w:r/>
      <w:bookmarkStart w:id="27" w:name="__RefHeading___Toc2869_4112689729"/>
      <w:r/>
      <w:bookmarkEnd w:id="27"/>
      <w:r>
        <w:rPr>
          <w:lang w:val="en-GB" w:eastAsia="zh-CN" w:bidi="hi-IN"/>
        </w:rPr>
        <w:t xml:space="preserve">Proposed </w:t>
      </w:r>
      <w:r>
        <w:rPr>
          <w:lang w:val="en-GB" w:eastAsia="zh-CN" w:bidi="hi-IN"/>
        </w:rPr>
        <w:t xml:space="preserve">items for the List of Issue</w:t>
      </w:r>
      <w:r>
        <w:rPr>
          <w:lang w:val="en-GB" w:eastAsia="zh-CN" w:bidi="hi-IN"/>
        </w:rPr>
      </w:r>
    </w:p>
    <w:p>
      <w:pPr>
        <w:pStyle w:val="1672"/>
        <w:numPr>
          <w:ilvl w:val="0"/>
          <w:numId w:val="3"/>
        </w:numPr>
        <w:pBdr/>
        <w:spacing/>
        <w:ind/>
        <w:rPr>
          <w:lang w:val="en-GB" w:eastAsia="zh-CN" w:bidi="hi-IN"/>
        </w:rPr>
      </w:pPr>
      <w:r>
        <w:t xml:space="preserve">We </w:t>
      </w:r>
      <w:r>
        <w:t xml:space="preserve">respectfully </w:t>
      </w:r>
      <w:r>
        <w:t xml:space="preserve">propose </w:t>
      </w:r>
      <w:r>
        <w:t xml:space="preserve">that CEDAW include the following points in the List of Issues  concerning the tenth periodic report of the Russian Federation:</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does the State party intend to take to protect </w:t>
      </w:r>
      <w:r>
        <w:rPr>
          <w:lang w:val="en-GB" w:eastAsia="zh-CN" w:bidi="hi-IN"/>
        </w:rPr>
        <w:t xml:space="preserve">indigenous female </w:t>
      </w:r>
      <w:r>
        <w:rPr>
          <w:lang w:val="en-GB" w:eastAsia="zh-CN" w:bidi="hi-IN"/>
        </w:rPr>
        <w:t xml:space="preserve">human rights </w:t>
      </w:r>
      <w:r>
        <w:rPr>
          <w:lang w:val="en-GB" w:eastAsia="zh-CN" w:bidi="hi-IN"/>
        </w:rPr>
        <w:t xml:space="preserve">and environmental </w:t>
      </w:r>
      <w:r>
        <w:rPr>
          <w:lang w:val="en-GB" w:eastAsia="zh-CN" w:bidi="hi-IN"/>
        </w:rPr>
        <w:t xml:space="preserve">defenders from persecution for their peaceful activities, and on what grounds are charges brought against Indigenous women human rights defenders under Article 205.5 of the Criminal Code of the Russian Federation?</w:t>
      </w:r>
      <w:r>
        <w:rPr>
          <w:lang w:val="en-GB" w:eastAsia="zh-CN" w:bidi="hi-IN"/>
        </w:rPr>
      </w:r>
    </w:p>
    <w:p>
      <w:pPr>
        <w:pStyle w:val="1622"/>
        <w:numPr>
          <w:ilvl w:val="0"/>
          <w:numId w:val="2"/>
        </w:numPr>
        <w:pBdr/>
        <w:spacing/>
        <w:ind/>
        <w:rPr/>
      </w:pPr>
      <w:r>
        <w:rPr>
          <w:lang w:val="en-GB" w:eastAsia="zh-CN" w:bidi="hi-IN"/>
        </w:rPr>
        <w:t xml:space="preserve">Please provide data, disaggregated by both gender and ethnicity, on the impact of armed conflict on the situation of </w:t>
      </w:r>
      <w:r>
        <w:rPr>
          <w:lang w:val="en-GB" w:eastAsia="zh-CN" w:bidi="hi-IN"/>
        </w:rPr>
        <w:t xml:space="preserve">Indigenous </w:t>
      </w:r>
      <w:r>
        <w:rPr>
          <w:lang w:val="en-GB" w:eastAsia="zh-CN" w:bidi="hi-IN"/>
        </w:rPr>
        <w:t xml:space="preserve">women, including on mobilisation, </w:t>
      </w:r>
      <w:r>
        <w:rPr>
          <w:lang w:val="en-GB" w:eastAsia="zh-CN" w:bidi="hi-IN"/>
        </w:rPr>
        <w:t xml:space="preserve">recruitment, </w:t>
      </w:r>
      <w:r>
        <w:rPr>
          <w:lang w:val="en-GB" w:eastAsia="zh-CN" w:bidi="hi-IN"/>
        </w:rPr>
        <w:t xml:space="preserve">casualties, employment, domestic violence and participation in decision-making.</w:t>
      </w:r>
      <w:r/>
    </w:p>
    <w:p>
      <w:pPr>
        <w:pStyle w:val="1622"/>
        <w:numPr>
          <w:ilvl w:val="0"/>
          <w:numId w:val="2"/>
        </w:numPr>
        <w:pBdr/>
        <w:spacing/>
        <w:ind/>
        <w:rPr>
          <w:lang w:val="en-GB" w:eastAsia="zh-CN" w:bidi="hi-IN"/>
        </w:rPr>
      </w:pPr>
      <w:r>
        <w:rPr>
          <w:lang w:val="en-GB" w:eastAsia="zh-CN" w:bidi="hi-IN"/>
        </w:rPr>
        <w:t xml:space="preserve">Does the State plan to introduce a leg</w:t>
      </w:r>
      <w:r>
        <w:rPr>
          <w:lang w:val="en-GB" w:eastAsia="zh-CN" w:bidi="hi-IN"/>
        </w:rPr>
        <w:t xml:space="preserve">We</w:t>
      </w:r>
      <w:r>
        <w:rPr>
          <w:lang w:val="en-GB" w:eastAsia="zh-CN" w:bidi="hi-IN"/>
        </w:rPr>
        <w:t xml:space="preserve">ally binding mechanism for the free, prior and informed consent of Indigenous peoples </w:t>
      </w:r>
      <w:r>
        <w:rPr>
          <w:lang w:val="en-GB" w:eastAsia="zh-CN" w:bidi="hi-IN"/>
        </w:rPr>
        <w:t xml:space="preserve">in </w:t>
      </w:r>
      <w:r>
        <w:rPr>
          <w:lang w:val="en-GB" w:eastAsia="zh-CN" w:bidi="hi-IN"/>
        </w:rPr>
        <w:t xml:space="preserve">cases stipulated by the UNDRIP, and how is the specific impact of such development on women from Indigenous minority peoples taken into account?</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are being taken to prevent and combat domestic violence against Indigenous women, and is access to crisis centres and legal aid ensured in the remote areas where they live?</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are being taken to ensure the meaningful and independent participation of Indigenous women in decision-making processes at local, regional, federal and international levels?</w:t>
      </w:r>
      <w:r>
        <w:rPr>
          <w:lang w:val="en-GB" w:eastAsia="zh-CN" w:bidi="hi-IN"/>
        </w:rPr>
      </w:r>
    </w:p>
    <w:p>
      <w:pPr>
        <w:pStyle w:val="1622"/>
        <w:numPr>
          <w:ilvl w:val="0"/>
          <w:numId w:val="2"/>
        </w:numPr>
        <w:pBdr/>
        <w:spacing/>
        <w:ind/>
        <w:rPr>
          <w:lang w:val="en-GB" w:eastAsia="zh-CN" w:bidi="hi-IN"/>
        </w:rPr>
      </w:pPr>
      <w:r>
        <w:rPr>
          <w:lang w:val="en-GB" w:eastAsia="zh-CN" w:bidi="hi-IN"/>
        </w:rPr>
        <w:t xml:space="preserve">What are the reasons for the reduction in state funding for support for Indigenous peoples from 2022 onwards, and what measures are being taken to ensure that funds actually reach the intended recipients?</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are being taken to address regional inequalities in access to healthcare infrastructure?</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are being taken to preserve educational opportunities in </w:t>
      </w:r>
      <w:r>
        <w:rPr>
          <w:lang w:val="en-GB" w:eastAsia="zh-CN" w:bidi="hi-IN"/>
        </w:rPr>
        <w:t xml:space="preserve">Indigenous </w:t>
      </w:r>
      <w:r>
        <w:rPr>
          <w:lang w:val="en-GB" w:eastAsia="zh-CN" w:bidi="hi-IN"/>
        </w:rPr>
        <w:t xml:space="preserve">languages?</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are being taken to remove bureaucratic bar</w:t>
      </w:r>
      <w:r>
        <w:rPr>
          <w:lang w:val="en-GB" w:eastAsia="zh-CN" w:bidi="hi-IN"/>
        </w:rPr>
        <w:t xml:space="preserve">riers hindering the registration of Indigenous women, including those living outside formally designated ‘traditional areas of residence’, and are there plans to expand the scope of the register to facilitate the exercise of communities’ collective rights?</w:t>
      </w:r>
      <w:r>
        <w:rPr>
          <w:lang w:val="en-GB" w:eastAsia="zh-CN" w:bidi="hi-IN"/>
        </w:rPr>
      </w:r>
    </w:p>
    <w:p>
      <w:pPr>
        <w:pStyle w:val="1622"/>
        <w:numPr>
          <w:ilvl w:val="0"/>
          <w:numId w:val="2"/>
        </w:numPr>
        <w:pBdr/>
        <w:spacing/>
        <w:ind/>
        <w:rPr>
          <w:lang w:val="en-GB" w:eastAsia="zh-CN" w:bidi="hi-IN"/>
        </w:rPr>
      </w:pPr>
      <w:r>
        <w:rPr>
          <w:lang w:val="en-GB" w:eastAsia="zh-CN" w:bidi="hi-IN"/>
        </w:rPr>
        <w:t xml:space="preserve">What measures have been taken to implement CEDAW’s 2021 recommendations (paras. 19, 45, 55, 58) concerning </w:t>
      </w:r>
      <w:r>
        <w:rPr>
          <w:lang w:val="en-GB" w:eastAsia="zh-CN" w:bidi="hi-IN"/>
        </w:rPr>
        <w:t xml:space="preserve">Indigenous </w:t>
      </w:r>
      <w:r>
        <w:rPr>
          <w:lang w:val="en-GB" w:eastAsia="zh-CN" w:bidi="hi-IN"/>
        </w:rPr>
        <w:t xml:space="preserve">women, apart from the creation of a unified register, and what timetable for their further implementation does the State party intend to submit to the Committee?</w:t>
      </w:r>
      <w:r>
        <w:rPr>
          <w:lang w:val="en-GB" w:eastAsia="zh-CN" w:bidi="hi-IN"/>
        </w:rPr>
      </w:r>
    </w:p>
    <w:sectPr>
      <w:footerReference w:type="default" r:id="rId12"/>
      <w:footerReference w:type="even" r:id="rId13"/>
      <w:footerReference w:type="first" r:id="rId14"/>
      <w:footnotePr>
        <w:numFmt w:val="decimal"/>
      </w:footnotePr>
      <w:endnotePr/>
      <w:type w:val="nextPage"/>
      <w:pgSz w:h="16838" w:orient="portrait" w:w="11906"/>
      <w:pgMar w:top="1134" w:right="1134" w:bottom="1693" w:left="1134" w:header="0" w:footer="1134"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imes New Roman">
    <w:panose1 w:val="02020603050405020304"/>
  </w:font>
  <w:font w:name="Noto Sans">
    <w:panose1 w:val="020B0502040504020204"/>
  </w:font>
  <w:font w:name="Liberation Sans">
    <w:panose1 w:val="020B0604020202020204"/>
  </w:font>
  <w:font w:name="OpenSymbol">
    <w:panose1 w:val="05010000000000000000"/>
  </w:font>
  <w:font w:name="Arial">
    <w:panose1 w:val="020B0604020202020204"/>
  </w:font>
  <w:font w:name="Tahoma">
    <w:panose1 w:val="020B0506030602030204"/>
  </w:font>
  <w:font w:name="FreeSans">
    <w:panose1 w:val="020B0504020202020204"/>
  </w:font>
  <w:font w:name="Liberation Serif">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689"/>
      <w:pBdr/>
      <w:spacing/>
      <w:ind/>
      <w:jc w:val="center"/>
      <w:rPr/>
    </w:pPr>
    <w:r/>
    <w:bookmarkStart w:id="0" w:name="PageNumWizard_FOOTER_Standard1"/>
    <w:r>
      <w:fldChar w:fldCharType="begin"/>
    </w:r>
    <w:r>
      <w:instrText xml:space="preserve"> PAGE </w:instrText>
    </w:r>
    <w:r>
      <w:fldChar w:fldCharType="separate"/>
    </w:r>
    <w:r>
      <w:t xml:space="preserve">0</w:t>
    </w:r>
    <w:r>
      <w:fldChar w:fldCharType="end"/>
    </w:r>
    <w:bookmarkEnd w:id="0"/>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68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08"/>
      <w:pBdr/>
      <w:spacing/>
      <w:ind w:right="0" w:firstLine="0" w:left="0"/>
      <w:rPr/>
    </w:pPr>
    <w:r/>
    <w:r/>
  </w:p>
  <w:p>
    <w:pPr>
      <w:pStyle w:val="1708"/>
      <w:pBdr/>
      <w:spacing/>
      <w:ind w:right="0" w:firstLine="0" w:left="0"/>
      <w:rPr/>
    </w:pPr>
    <w:r>
      <w:t xml:space="preserve">Submitted on behalf of the following organisations:</w:t>
    </w:r>
    <w:r/>
  </w:p>
  <w:tbl>
    <w:tblPr>
      <w:tblInd w:w="0" w:type="dxa"/>
      <w:tblW w:w="9638" w:type="dxa"/>
      <w:tblCellMar>
        <w:left w:w="55" w:type="dxa"/>
        <w:top w:w="55" w:type="dxa"/>
        <w:right w:w="55" w:type="dxa"/>
        <w:bottom w:w="55" w:type="dxa"/>
      </w:tblCellMar>
      <w:tblBorders/>
      <w:tblLayout w:type="fixed"/>
      <w:tblLook w:val="04A0" w:firstRow="1" w:lastRow="0" w:firstColumn="1" w:lastColumn="0" w:noHBand="0" w:noVBand="1"/>
    </w:tblPr>
    <w:tblGrid>
      <w:gridCol w:w="2119"/>
      <w:gridCol w:w="7519"/>
    </w:tblGrid>
    <w:tr>
      <w:trPr/>
      <w:tc>
        <w:tcPr>
          <w:tcBorders/>
          <w:tcW w:w="2119" w:type="dxa"/>
        </w:tcPr>
        <w:p>
          <w:pPr>
            <w:pStyle w:val="1709"/>
            <w:pBdr/>
            <w:spacing/>
            <w:ind/>
            <w:rPr>
              <w:b/>
              <w:bCs/>
            </w:rPr>
          </w:pPr>
          <w:r>
            <mc:AlternateContent>
              <mc:Choice Requires="wpg">
                <w:drawing>
                  <wp:inline xmlns:wp="http://schemas.openxmlformats.org/drawingml/2006/wordprocessingDrawing" distT="0" distB="0" distL="0" distR="0">
                    <wp:extent cx="1276985" cy="59309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pic:cNvPicPr>
                            <pic:nvPr/>
                          </pic:nvPicPr>
                          <pic:blipFill rotWithShape="1">
                            <a:blip r:embed="rId1"/>
                            <a:stretch/>
                          </pic:blipFill>
                          <pic:spPr bwMode="auto">
                            <a:xfrm>
                              <a:off x="0" y="0"/>
                              <a:ext cx="1276985" cy="5930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0.55pt;height:46.70pt;mso-wrap-distance-left:0.00pt;mso-wrap-distance-top:0.00pt;mso-wrap-distance-right:0.00pt;mso-wrap-distance-bottom:0.00pt;z-index:1;" stroked="false">
                    <v:imagedata r:id="rId1" o:title=""/>
                    <o:lock v:ext="edit" rotation="t"/>
                  </v:shape>
                </w:pict>
              </mc:Fallback>
            </mc:AlternateContent>
          </w:r>
          <w:r>
            <w:rPr>
              <w:b/>
              <w:bCs/>
            </w:rPr>
          </w:r>
        </w:p>
      </w:tc>
      <w:tc>
        <w:tcPr>
          <w:tcBorders/>
          <w:tcW w:w="7519" w:type="dxa"/>
          <w:vAlign w:val="center"/>
        </w:tcPr>
        <w:p>
          <w:pPr>
            <w:pStyle w:val="1672"/>
            <w:numPr>
              <w:ilvl w:val="0"/>
              <w:numId w:val="0"/>
            </w:numPr>
            <w:pBdr/>
            <w:bidi w:val="false"/>
            <w:spacing/>
            <w:ind w:firstLine="0" w:left="0"/>
            <w:rPr/>
          </w:pPr>
          <w:r>
            <w:rPr>
              <w:b/>
              <w:bCs w:val="0"/>
            </w:rPr>
            <w:t xml:space="preserve">International Committee of Indigenous Peoples of Russia (ICIPR)</w:t>
            <w:br/>
          </w:r>
          <w:r>
            <w:rPr>
              <w:b w:val="0"/>
              <w:bCs w:val="0"/>
            </w:rPr>
            <w:t xml:space="preserve">Address: </w:t>
          </w:r>
          <w:r>
            <w:t xml:space="preserve">Birkenweg 61, CH-3013 Bern</w:t>
          </w:r>
          <w:r/>
        </w:p>
        <w:p>
          <w:pPr>
            <w:pStyle w:val="1672"/>
            <w:numPr>
              <w:ilvl w:val="0"/>
              <w:numId w:val="0"/>
            </w:numPr>
            <w:pBdr/>
            <w:bidi w:val="false"/>
            <w:spacing w:after="140" w:before="0"/>
            <w:ind w:right="0" w:firstLine="0" w:left="0"/>
            <w:rPr/>
          </w:pPr>
          <w:r>
            <w:rPr>
              <w:lang w:val="de-DE"/>
            </w:rPr>
            <w:t xml:space="preserve">Website: </w:t>
          </w:r>
          <w:hyperlink r:id="rId2" w:tooltip="https://icipr.international/" w:history="1">
            <w:r>
              <w:rPr>
                <w:rStyle w:val="1657"/>
              </w:rPr>
              <w:t xml:space="preserve">https:</w:t>
            </w:r>
            <w:r>
              <w:rPr>
                <w:rStyle w:val="1657"/>
                <w:lang w:val="de-DE"/>
              </w:rPr>
              <w:t xml:space="preserve">//icipr.international</w:t>
            </w:r>
          </w:hyperlink>
          <w:r>
            <w:rPr>
              <w:lang w:val="de-DE"/>
            </w:rPr>
            <w:t xml:space="preserve"> </w:t>
          </w:r>
          <w:r>
            <w:rPr>
              <w:color w:val="1155cc"/>
              <w:u w:val="single"/>
              <w:lang w:val="de-DE"/>
            </w:rPr>
            <w:t xml:space="preserve">,</w:t>
          </w:r>
          <w:r>
            <w:t xml:space="preserve"> </w:t>
          </w:r>
          <w:r>
            <w:rPr>
              <w:lang w:val="de-DE"/>
            </w:rPr>
            <w:t xml:space="preserve">E-Mail: </w:t>
          </w:r>
          <w:hyperlink r:id="rId3" w:tooltip="mailto:icipr.info@gmail.com" w:history="1">
            <w:r>
              <w:rPr>
                <w:rStyle w:val="1657"/>
                <w:color w:val="000080"/>
                <w:u w:val="single"/>
              </w:rPr>
              <w:t xml:space="preserve">icipr.info@gmail.com</w:t>
            </w:r>
          </w:hyperlink>
          <w:r/>
          <w:r/>
        </w:p>
      </w:tc>
    </w:tr>
    <w:tr>
      <w:trPr/>
      <w:tc>
        <w:tcPr>
          <w:tcBorders/>
          <w:tcW w:w="2119" w:type="dxa"/>
        </w:tcPr>
        <w:p>
          <w:pPr>
            <w:pStyle w:val="1709"/>
            <w:pBdr/>
            <w:spacing/>
            <w:ind/>
            <w:rPr>
              <w:b/>
              <w:bCs/>
            </w:rPr>
          </w:pPr>
          <w:r>
            <mc:AlternateContent>
              <mc:Choice Requires="wpg">
                <w:drawing>
                  <wp:inline xmlns:wp="http://schemas.openxmlformats.org/drawingml/2006/wordprocessingDrawing" distT="0" distB="0" distL="0" distR="0">
                    <wp:extent cx="1080135" cy="756285"/>
                    <wp:effectExtent l="0" t="0" r="0" b="0"/>
                    <wp:docPr id="2" name="Bild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Kopie 1"/>
                            <pic:cNvPicPr>
                              <a:picLocks noChangeAspect="1"/>
                            </pic:cNvPicPr>
                            <pic:nvPr/>
                          </pic:nvPicPr>
                          <pic:blipFill rotWithShape="1">
                            <a:blip r:embed="rId4"/>
                            <a:stretch/>
                          </pic:blipFill>
                          <pic:spPr bwMode="auto">
                            <a:xfrm>
                              <a:off x="0" y="0"/>
                              <a:ext cx="1080135" cy="7562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5.05pt;height:59.55pt;mso-wrap-distance-left:0.00pt;mso-wrap-distance-top:0.00pt;mso-wrap-distance-right:0.00pt;mso-wrap-distance-bottom:0.00pt;z-index:1;" stroked="false">
                    <v:imagedata r:id="rId4" o:title=""/>
                    <o:lock v:ext="edit" rotation="t"/>
                  </v:shape>
                </w:pict>
              </mc:Fallback>
            </mc:AlternateContent>
          </w:r>
          <w:r>
            <w:rPr>
              <w:b/>
              <w:bCs/>
            </w:rPr>
          </w:r>
        </w:p>
      </w:tc>
      <w:tc>
        <w:tcPr>
          <w:tcBorders/>
          <w:tcW w:w="7519" w:type="dxa"/>
          <w:vAlign w:val="center"/>
        </w:tcPr>
        <w:p>
          <w:pPr>
            <w:pStyle w:val="1672"/>
            <w:numPr>
              <w:ilvl w:val="0"/>
              <w:numId w:val="0"/>
            </w:numPr>
            <w:pBdr/>
            <w:bidi w:val="false"/>
            <w:spacing/>
            <w:ind w:firstLine="0" w:left="0"/>
            <w:rPr>
              <w:b/>
              <w:bCs/>
            </w:rPr>
          </w:pPr>
          <w:r>
            <w:rPr>
              <w:b/>
              <w:bCs/>
            </w:rPr>
            <w:t xml:space="preserve">Anti Discrimination Centre Memorial</w:t>
          </w:r>
          <w:r>
            <w:rPr>
              <w:b/>
              <w:bCs/>
            </w:rPr>
          </w:r>
        </w:p>
        <w:p>
          <w:pPr>
            <w:pStyle w:val="1672"/>
            <w:numPr>
              <w:ilvl w:val="0"/>
              <w:numId w:val="0"/>
            </w:numPr>
            <w:pBdr/>
            <w:bidi w:val="false"/>
            <w:spacing/>
            <w:ind w:firstLine="0" w:left="0"/>
            <w:rPr/>
          </w:pPr>
          <w:r>
            <w:rPr>
              <w:b w:val="0"/>
              <w:bCs w:val="0"/>
            </w:rPr>
            <w:t xml:space="preserve">Website: </w:t>
          </w:r>
          <w:hyperlink r:id="rId5" w:tooltip="https://www.adcmemorial.org/" w:history="1">
            <w:r>
              <w:rPr>
                <w:rStyle w:val="1657"/>
                <w:b w:val="0"/>
                <w:bCs w:val="0"/>
              </w:rPr>
              <w:t xml:space="preserve">https://www.adcmemorial.org</w:t>
            </w:r>
          </w:hyperlink>
          <w:r>
            <w:rPr>
              <w:b w:val="0"/>
              <w:bCs w:val="0"/>
            </w:rPr>
            <w:t xml:space="preserve">, E-Mail: </w:t>
          </w:r>
          <w:hyperlink r:id="rId6" w:tooltip="mailto:info@adcmemorial.org" w:history="1">
            <w:r>
              <w:rPr>
                <w:rStyle w:val="1657"/>
                <w:b w:val="0"/>
                <w:bCs w:val="0"/>
              </w:rPr>
              <w:t xml:space="preserve">info@adcmemorial.org</w:t>
            </w:r>
          </w:hyperlink>
          <w:r/>
          <w:r/>
        </w:p>
        <w:p>
          <w:pPr>
            <w:pStyle w:val="1672"/>
            <w:numPr>
              <w:ilvl w:val="0"/>
              <w:numId w:val="0"/>
            </w:numPr>
            <w:pBdr/>
            <w:bidi w:val="false"/>
            <w:spacing w:after="140" w:before="0"/>
            <w:ind w:firstLine="0" w:left="0"/>
            <w:rPr>
              <w:b w:val="0"/>
              <w:bCs w:val="0"/>
            </w:rPr>
          </w:pPr>
          <w:r>
            <w:rPr>
              <w:b w:val="0"/>
              <w:bCs w:val="0"/>
            </w:rPr>
          </w:r>
          <w:r>
            <w:rPr>
              <w:b w:val="0"/>
              <w:bCs w:val="0"/>
            </w:rPr>
          </w:r>
        </w:p>
      </w:tc>
    </w:tr>
    <w:tr>
      <w:trPr/>
      <w:tc>
        <w:tcPr>
          <w:tcBorders/>
          <w:tcW w:w="2119" w:type="dxa"/>
        </w:tcPr>
        <w:p>
          <w:pPr>
            <w:pStyle w:val="1709"/>
            <w:pBdr/>
            <w:spacing/>
            <w:ind/>
            <w:rPr>
              <w:b/>
              <w:bCs/>
            </w:rPr>
          </w:pPr>
          <w:r>
            <w:rPr>
              <w:b/>
              <w:bCs/>
            </w:rPr>
            <mc:AlternateContent>
              <mc:Choice Requires="wpg">
                <w:drawing>
                  <wp:anchor xmlns:wp="http://schemas.openxmlformats.org/drawingml/2006/wordprocessingDrawing" xmlns:wp14="http://schemas.microsoft.com/office/word/2010/wordprocessingDrawing" distT="0" distB="0" distL="0" distR="0" simplePos="0" relativeHeight="2" behindDoc="1" locked="0" layoutInCell="1" allowOverlap="1">
                    <wp:simplePos x="0" y="0"/>
                    <wp:positionH relativeFrom="column">
                      <wp:align>center</wp:align>
                    </wp:positionH>
                    <wp:positionV relativeFrom="paragraph">
                      <wp:posOffset>635</wp:posOffset>
                    </wp:positionV>
                    <wp:extent cx="1275715" cy="786130"/>
                    <wp:effectExtent l="0" t="0" r="0" b="0"/>
                    <wp:wrapSquare wrapText="bothSides"/>
                    <wp:docPr id="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
                            <pic:cNvPicPr>
                              <a:picLocks noChangeAspect="1"/>
                            </pic:cNvPicPr>
                            <pic:nvPr/>
                          </pic:nvPicPr>
                          <pic:blipFill rotWithShape="1">
                            <a:blip r:embed="rId7">
                              <a:extLst>
                                <a:ext uri="{96DAC541-7B7A-43D3-8B79-37D633B846F1}">
                                  <asvg:svgBlip xmlns:asvg="http://schemas.microsoft.com/office/drawing/2016/SVG/main" r:embed="rId8"/>
                                </a:ext>
                              </a:extLst>
                            </a:blip>
                            <a:stretch/>
                          </pic:blipFill>
                          <pic:spPr bwMode="auto">
                            <a:xfrm>
                              <a:off x="0" y="0"/>
                              <a:ext cx="1275715" cy="78613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o:allowoverlap:true;o:allowincell:true;mso-position-horizontal-relative:text;mso-position-horizontal:center;mso-position-vertical-relative:text;margin-top:0.05pt;mso-position-vertical:absolute;width:100.45pt;height:61.90pt;mso-wrap-distance-left:0.00pt;mso-wrap-distance-top:0.00pt;mso-wrap-distance-right:0.00pt;mso-wrap-distance-bottom:0.00pt;z-index:1;" stroked="false">
                    <w10:wrap type="square"/>
                    <v:imagedata r:id="rId7" o:title=""/>
                    <o:lock v:ext="edit" rotation="t"/>
                  </v:shape>
                </w:pict>
              </mc:Fallback>
            </mc:AlternateContent>
          </w:r>
          <w:r>
            <w:rPr>
              <w:b/>
              <w:bCs/>
            </w:rPr>
          </w:r>
        </w:p>
      </w:tc>
      <w:tc>
        <w:tcPr>
          <w:tcBorders/>
          <w:tcW w:w="7519" w:type="dxa"/>
          <w:vAlign w:val="center"/>
        </w:tcPr>
        <w:p>
          <w:pPr>
            <w:pStyle w:val="1672"/>
            <w:numPr>
              <w:ilvl w:val="0"/>
              <w:numId w:val="0"/>
            </w:numPr>
            <w:pBdr/>
            <w:bidi w:val="false"/>
            <w:spacing/>
            <w:ind w:firstLine="0" w:left="0"/>
            <w:rPr>
              <w:b w:val="0"/>
              <w:bCs w:val="0"/>
            </w:rPr>
          </w:pPr>
          <w:r>
            <w:rPr>
              <w:b/>
              <w:bCs w:val="0"/>
            </w:rPr>
            <w:t xml:space="preserve">Institute for Ecology and Action Anthropology (INFOE)</w:t>
            <w:br/>
          </w:r>
          <w:r>
            <w:rPr>
              <w:b w:val="0"/>
              <w:bCs w:val="0"/>
            </w:rPr>
            <w:t xml:space="preserve">Address: Melchiorstr. 3, 50670 Cologne, Germany</w:t>
          </w:r>
          <w:r>
            <w:rPr>
              <w:b w:val="0"/>
              <w:bCs w:val="0"/>
            </w:rPr>
          </w:r>
        </w:p>
        <w:p>
          <w:pPr>
            <w:pStyle w:val="1672"/>
            <w:numPr>
              <w:ilvl w:val="0"/>
              <w:numId w:val="0"/>
            </w:numPr>
            <w:pBdr/>
            <w:bidi w:val="false"/>
            <w:spacing w:after="140" w:before="0"/>
            <w:ind w:right="0" w:firstLine="0" w:left="0"/>
            <w:rPr/>
          </w:pPr>
          <w:r>
            <w:rPr>
              <w:lang w:val="de-DE"/>
            </w:rPr>
            <w:t xml:space="preserve">Website: </w:t>
          </w:r>
          <w:r>
            <w:rPr>
              <w:color w:val="1155cc"/>
              <w:u w:val="single"/>
              <w:lang w:val="de-DE"/>
            </w:rPr>
            <w:t xml:space="preserve">http://www.infoe.de,</w:t>
          </w:r>
          <w:r>
            <w:t xml:space="preserve"> </w:t>
          </w:r>
          <w:r>
            <w:rPr>
              <w:lang w:val="de-DE"/>
            </w:rPr>
            <w:t xml:space="preserve">E-Mail: </w:t>
          </w:r>
          <w:hyperlink r:id="rId9" w:tooltip="mailto:infoe@infoe.de" w:history="1">
            <w:r>
              <w:rPr>
                <w:rStyle w:val="1657"/>
                <w:color w:val="000080"/>
                <w:u w:val="single"/>
              </w:rPr>
              <w:t xml:space="preserve">infoe@infoe.de</w:t>
            </w:r>
          </w:hyperlink>
          <w:r>
            <w:t xml:space="preserve"> </w:t>
          </w:r>
          <w:r/>
        </w:p>
      </w:tc>
    </w:tr>
    <w:tr>
      <w:trPr/>
      <w:tc>
        <w:tcPr>
          <w:tcBorders/>
          <w:tcW w:w="2119" w:type="dxa"/>
        </w:tcPr>
        <w:p>
          <w:pPr>
            <w:pStyle w:val="1709"/>
            <w:pBdr/>
            <w:spacing/>
            <w:ind/>
            <w:rPr>
              <w:b/>
              <w:bCs/>
            </w:rPr>
          </w:pPr>
          <w:r>
            <mc:AlternateContent>
              <mc:Choice Requires="wpg">
                <w:drawing>
                  <wp:inline xmlns:wp="http://schemas.openxmlformats.org/drawingml/2006/wordprocessingDrawing" distT="0" distB="0" distL="0" distR="0">
                    <wp:extent cx="1129030" cy="1035050"/>
                    <wp:effectExtent l="0" t="0" r="0" b="0"/>
                    <wp:docPr id="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pic:cNvPicPr>
                            <pic:nvPr/>
                          </pic:nvPicPr>
                          <pic:blipFill rotWithShape="1">
                            <a:blip r:embed="rId10"/>
                            <a:stretch/>
                          </pic:blipFill>
                          <pic:spPr bwMode="auto">
                            <a:xfrm>
                              <a:off x="0" y="0"/>
                              <a:ext cx="1129030" cy="10350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8.90pt;height:81.50pt;mso-wrap-distance-left:0.00pt;mso-wrap-distance-top:0.00pt;mso-wrap-distance-right:0.00pt;mso-wrap-distance-bottom:0.00pt;z-index:1;" stroked="false">
                    <v:imagedata r:id="rId10" o:title=""/>
                    <o:lock v:ext="edit" rotation="t"/>
                  </v:shape>
                </w:pict>
              </mc:Fallback>
            </mc:AlternateContent>
          </w:r>
          <w:r>
            <w:rPr>
              <w:b/>
              <w:bCs/>
            </w:rPr>
          </w:r>
        </w:p>
      </w:tc>
      <w:tc>
        <w:tcPr>
          <w:tcBorders/>
          <w:tcW w:w="7519" w:type="dxa"/>
          <w:vAlign w:val="center"/>
        </w:tcPr>
        <w:p>
          <w:pPr>
            <w:pStyle w:val="1672"/>
            <w:numPr>
              <w:ilvl w:val="0"/>
              <w:numId w:val="0"/>
            </w:numPr>
            <w:pBdr/>
            <w:bidi w:val="false"/>
            <w:spacing/>
            <w:ind w:firstLine="0" w:left="0"/>
            <w:rPr>
              <w:b w:val="0"/>
              <w:bCs w:val="0"/>
            </w:rPr>
          </w:pPr>
          <w:r>
            <w:rPr>
              <w:b/>
              <w:bCs w:val="0"/>
            </w:rPr>
            <w:t xml:space="preserve">North Women</w:t>
          </w:r>
          <w:r>
            <w:rPr>
              <w:b w:val="0"/>
              <w:bCs w:val="0"/>
            </w:rPr>
          </w:r>
        </w:p>
        <w:p>
          <w:pPr>
            <w:pStyle w:val="1672"/>
            <w:numPr>
              <w:ilvl w:val="0"/>
              <w:numId w:val="0"/>
            </w:numPr>
            <w:pBdr/>
            <w:bidi w:val="false"/>
            <w:spacing w:after="140" w:before="0"/>
            <w:ind w:right="0" w:firstLine="0" w:left="0"/>
            <w:rPr/>
          </w:pPr>
          <w:r>
            <w:rPr>
              <w:lang w:val="de-DE"/>
            </w:rPr>
            <w:t xml:space="preserve">E-Mail: </w:t>
          </w:r>
          <w:hyperlink r:id="rId11" w:tooltip="http://NORTHWOMEN@proton.me" w:history="1">
            <w:r>
              <w:rPr>
                <w:rStyle w:val="1657"/>
              </w:rPr>
              <w:t xml:space="preserve">NORTHWOMEN@proton.me</w:t>
            </w:r>
          </w:hyperlink>
          <w:r>
            <w:t xml:space="preserve"> </w:t>
          </w:r>
          <w:r/>
        </w:p>
        <w:p>
          <w:pPr>
            <w:pStyle w:val="1672"/>
            <w:numPr>
              <w:ilvl w:val="0"/>
              <w:numId w:val="0"/>
            </w:numPr>
            <w:pBdr/>
            <w:bidi w:val="false"/>
            <w:spacing w:after="140" w:before="0"/>
            <w:ind w:firstLine="0" w:left="0"/>
            <w:rPr>
              <w:b/>
              <w:bCs w:val="0"/>
            </w:rPr>
          </w:pPr>
          <w:r>
            <w:rPr>
              <w:b/>
              <w:bCs w:val="0"/>
            </w:rPr>
          </w:r>
          <w:r>
            <w:rPr>
              <w:b/>
              <w:bCs w:val="0"/>
            </w:rPr>
          </w:r>
        </w:p>
      </w:tc>
    </w:tr>
  </w:tbl>
  <w:p>
    <w:pPr>
      <w:pStyle w:val="1622"/>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689"/>
      <w:pBdr/>
      <w:spacing/>
      <w:ind/>
      <w:jc w:val="center"/>
      <w:rPr/>
    </w:pPr>
    <w:r/>
    <w:bookmarkStart w:id="28" w:name="PageNumWizard_FOOTER_Standard1_Kopie_4"/>
    <w:r>
      <w:fldChar w:fldCharType="begin"/>
    </w:r>
    <w:r>
      <w:instrText xml:space="preserve"> PAGE </w:instrText>
    </w:r>
    <w:r>
      <w:fldChar w:fldCharType="separate"/>
    </w:r>
    <w:r>
      <w:t xml:space="preserve">16</w:t>
    </w:r>
    <w:r>
      <w:fldChar w:fldCharType="end"/>
    </w:r>
    <w:bookmarkEnd w:id="28"/>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689"/>
      <w:pBdr/>
      <w:spacing/>
      <w:ind/>
      <w:rPr/>
    </w:pPr>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689"/>
      <w:pBdr/>
      <w:spacing/>
      <w:ind/>
      <w:jc w:val="center"/>
      <w:rPr/>
    </w:pPr>
    <w:r/>
    <w:bookmarkStart w:id="29" w:name="PageNumWizard_FOOTER_Standard1_Kopie_4"/>
    <w:r>
      <w:fldChar w:fldCharType="begin"/>
    </w:r>
    <w:r>
      <w:instrText xml:space="preserve"> PAGE </w:instrText>
    </w:r>
    <w:r>
      <w:fldChar w:fldCharType="separate"/>
    </w:r>
    <w:r>
      <w:t xml:space="preserve">16</w:t>
    </w:r>
    <w:r>
      <w:fldChar w:fldCharType="end"/>
    </w:r>
    <w:bookmarkEnd w:id="29"/>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 w:id="2">
    <w:p>
      <w:pPr>
        <w:pStyle w:val="1622"/>
        <w:pBdr/>
        <w:spacing/>
        <w:ind/>
        <w:rPr>
          <w:sz w:val="20"/>
          <w:szCs w:val="20"/>
        </w:rPr>
      </w:pPr>
      <w:r>
        <w:rPr>
          <w:rStyle w:val="1662"/>
        </w:rPr>
        <w:footnoteRef/>
      </w:r>
      <w:hyperlink r:id="rId1" w:tooltip="https://icipr.international/" w:history="1">
        <w:r>
          <w:rPr>
            <w:rStyle w:val="1657"/>
            <w:rFonts w:eastAsia="Tahoma" w:cs="FreeSans"/>
            <w:color w:val="auto"/>
            <w:sz w:val="20"/>
            <w:szCs w:val="20"/>
            <w:lang w:val="en-GB" w:eastAsia="zh-CN" w:bidi="hi-IN"/>
          </w:rPr>
          <w:t xml:space="preserve">https://icipr.international/</w:t>
        </w:r>
      </w:hyperlink>
      <w:r/>
      <w:r>
        <w:rPr>
          <w:sz w:val="20"/>
          <w:szCs w:val="20"/>
        </w:rPr>
      </w:r>
    </w:p>
  </w:footnote>
  <w:footnote w:id="3">
    <w:p>
      <w:pPr>
        <w:pStyle w:val="1704"/>
        <w:pBdr/>
        <w:spacing/>
        <w:ind/>
        <w:rPr/>
      </w:pPr>
      <w:r>
        <w:rPr>
          <w:rStyle w:val="1662"/>
        </w:rPr>
        <w:footnoteRef/>
      </w:r>
      <w:r>
        <w:t xml:space="preserve">In the present submission, the Russian term “</w:t>
      </w:r>
      <w:r>
        <w:rPr>
          <w:i/>
          <w:iCs/>
        </w:rPr>
        <w:t xml:space="preserve">malochislennyi</w:t>
      </w:r>
      <w:r>
        <w:t xml:space="preserve">” (“small in number”), used in the legal expression “</w:t>
      </w:r>
      <w:r>
        <w:rPr>
          <w:i/>
          <w:iCs/>
        </w:rPr>
        <w:t xml:space="preserve">korrenye, malochislennye narody</w:t>
      </w:r>
      <w:r>
        <w:t xml:space="preserve">” (“indigenous small-numbered peoples), is translated as “minority”.</w:t>
      </w:r>
      <w:r/>
    </w:p>
  </w:footnote>
  <w:footnote w:id="4">
    <w:p>
      <w:pPr>
        <w:pStyle w:val="1622"/>
        <w:pBdr/>
        <w:spacing/>
        <w:ind/>
        <w:rPr>
          <w:sz w:val="20"/>
          <w:szCs w:val="20"/>
        </w:rPr>
      </w:pPr>
      <w:r>
        <w:rPr>
          <w:rStyle w:val="1662"/>
        </w:rPr>
        <w:footnoteRef/>
      </w:r>
      <w:r>
        <w:rPr>
          <w:rFonts w:eastAsia="Tahoma" w:cs="FreeSans"/>
          <w:color w:val="auto"/>
          <w:sz w:val="20"/>
          <w:szCs w:val="20"/>
          <w:lang w:val="en-GB" w:eastAsia="zh-CN" w:bidi="hi-IN"/>
        </w:rPr>
        <w:t xml:space="preserve"> </w:t>
      </w:r>
      <w:hyperlink r:id="rId2" w:tooltip="https://www.infoe.de/" w:history="1">
        <w:r>
          <w:rPr>
            <w:rStyle w:val="1657"/>
            <w:rFonts w:eastAsia="Tahoma" w:cs="FreeSans"/>
            <w:color w:val="auto"/>
            <w:sz w:val="20"/>
            <w:szCs w:val="20"/>
            <w:lang w:val="en-GB" w:eastAsia="zh-CN" w:bidi="hi-IN"/>
          </w:rPr>
          <w:t xml:space="preserve">https://www.infoe.de/</w:t>
        </w:r>
      </w:hyperlink>
      <w:r/>
      <w:r>
        <w:rPr>
          <w:sz w:val="20"/>
          <w:szCs w:val="20"/>
        </w:rPr>
      </w:r>
    </w:p>
  </w:footnote>
  <w:footnote w:id="5">
    <w:p>
      <w:pPr>
        <w:pStyle w:val="1622"/>
        <w:pBdr/>
        <w:spacing/>
        <w:ind/>
        <w:rPr>
          <w:sz w:val="20"/>
          <w:szCs w:val="20"/>
        </w:rPr>
      </w:pPr>
      <w:r>
        <w:rPr>
          <w:rStyle w:val="1662"/>
        </w:rPr>
        <w:footnoteRef/>
      </w:r>
      <w:r>
        <w:rPr>
          <w:rFonts w:eastAsia="Tahoma" w:cs="FreeSans"/>
          <w:color w:val="auto"/>
          <w:sz w:val="20"/>
          <w:szCs w:val="20"/>
          <w:lang w:val="en-GB" w:eastAsia="zh-CN" w:bidi="hi-IN"/>
        </w:rPr>
        <w:t xml:space="preserve"> </w:t>
      </w:r>
      <w:hyperlink r:id="rId3" w:tooltip="https://adcmemorial.org/en/" w:history="1">
        <w:r>
          <w:rPr>
            <w:rStyle w:val="1657"/>
            <w:rFonts w:eastAsia="Tahoma" w:cs="FreeSans"/>
            <w:color w:val="auto"/>
            <w:sz w:val="20"/>
            <w:szCs w:val="20"/>
            <w:lang w:val="en-GB" w:eastAsia="zh-CN" w:bidi="hi-IN"/>
          </w:rPr>
          <w:t xml:space="preserve">https://adcmemorial.org/en/</w:t>
        </w:r>
      </w:hyperlink>
      <w:r/>
      <w:r>
        <w:rPr>
          <w:sz w:val="20"/>
          <w:szCs w:val="20"/>
        </w:rPr>
      </w:r>
    </w:p>
  </w:footnote>
  <w:footnote w:id="6">
    <w:p>
      <w:pPr>
        <w:pStyle w:val="1704"/>
        <w:pBdr/>
        <w:spacing/>
        <w:ind/>
        <w:rPr/>
      </w:pPr>
      <w:r>
        <w:rPr>
          <w:rStyle w:val="1662"/>
        </w:rPr>
        <w:footnoteRef/>
      </w:r>
      <w:r>
        <w:t xml:space="preserve"> </w:t>
      </w:r>
      <w:r>
        <w:t xml:space="preserve">Federal Law No. 82-FZ of 30 April 1999 “On Guarantees of the Rights of Indigenous Minority Peoples of the Russian Federation”, Art 1</w:t>
      </w:r>
      <w:r/>
    </w:p>
  </w:footnote>
  <w:footnote w:id="7">
    <w:p>
      <w:pPr>
        <w:pStyle w:val="1704"/>
        <w:pBdr/>
        <w:spacing/>
        <w:ind/>
        <w:rPr/>
      </w:pPr>
      <w:r>
        <w:rPr>
          <w:rStyle w:val="1662"/>
        </w:rPr>
        <w:footnoteRef/>
      </w:r>
      <w:r>
        <w:t xml:space="preserve"> </w:t>
      </w:r>
      <w:r>
        <w:t xml:space="preserve">Resolution of the Government of the Russian Federation No. 255 of 24 March 2000 “On the Unified List of Indigenous and Small-Numbered Peoples of the Russian Federation” (as amended and supplemented) </w:t>
      </w:r>
      <w:hyperlink r:id="rId4" w:tooltip="https://base.garant.ru/181870/" w:history="1">
        <w:r>
          <w:rPr>
            <w:rStyle w:val="1657"/>
          </w:rPr>
          <w:t xml:space="preserve">https://base.garant.ru/181870/</w:t>
        </w:r>
      </w:hyperlink>
      <w:r>
        <w:t xml:space="preserve"> </w:t>
      </w:r>
      <w:r/>
    </w:p>
  </w:footnote>
  <w:footnote w:id="8">
    <w:p>
      <w:pPr>
        <w:pStyle w:val="1704"/>
        <w:pBdr/>
        <w:spacing/>
        <w:ind/>
        <w:rPr/>
      </w:pPr>
      <w:r>
        <w:rPr>
          <w:rStyle w:val="1662"/>
        </w:rPr>
        <w:footnoteRef/>
      </w:r>
      <w:r>
        <w:t xml:space="preserve"> </w:t>
      </w:r>
      <w:r>
        <w:t xml:space="preserve">Decree of the Government of the Russian Federation No. 631-r of 8 May 2009 (as amended on 3 August 2026) &lt;On the Approval of the List of Places of Traditional Residence and Traditional Economic Activities of the Indigenous Small-Numbere</w:t>
      </w:r>
      <w:r>
        <w:t xml:space="preserve">d Peoples of the Russian Federation and the List of Types of Traditional Economic Activities of the Indigenous Small-Numbered Peoples of the Russian Federation&gt; https://www.consultant.ru/document/cons_doc_LAW_87690/beb7e7f131a7ff3656b71b7b30c30454fc1fdde7/</w:t>
      </w:r>
      <w:r/>
    </w:p>
  </w:footnote>
  <w:footnote w:id="9">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Arctida. “</w:t>
      </w:r>
      <w:r>
        <w:rPr>
          <w:i/>
          <w:iCs/>
          <w:lang w:val="en-GB" w:eastAsia="zh-CN" w:bidi="hi-IN"/>
        </w:rPr>
        <w:t xml:space="preserve">RAIPON in the Hands of United Russia and Business Representatives</w:t>
      </w:r>
      <w:r>
        <w:rPr>
          <w:lang w:val="en-GB" w:eastAsia="zh-CN" w:bidi="hi-IN"/>
        </w:rPr>
        <w:t xml:space="preserve">”. 2 August 2024.</w:t>
      </w:r>
      <w:r>
        <w:rPr>
          <w:rStyle w:val="1657"/>
          <w:lang w:val="en-GB" w:eastAsia="zh-CN" w:bidi="hi-IN"/>
        </w:rPr>
        <w:t xml:space="preserve"> https://arctida.io/en/projects/oni-rabotayut-na-blago-verhushki</w:t>
      </w:r>
      <w:r/>
    </w:p>
  </w:footnote>
  <w:footnote w:id="10">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Verstka. Investigation: “How the Association of Indigenous Minorities became a tool for enrichment and lobbying”. 2 August 2024. </w:t>
      </w:r>
      <w:r>
        <w:rPr>
          <w:rStyle w:val="1657"/>
          <w:lang w:val="en-GB" w:eastAsia="zh-CN" w:bidi="hi-IN"/>
        </w:rPr>
        <w:t xml:space="preserve">https://verstka.media/rassledovanie-kak-associaciya-korennyh-malochislennyh-narodov-stala-instrumentom-obogascheniya-i-lobbizma</w:t>
      </w:r>
      <w:r/>
    </w:p>
  </w:footnote>
  <w:footnote w:id="11">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Radio Liberty. The “Centre for Assistance to the Peoples of the North” has been designated a “foreign agent”. 27 November 2015.</w:t>
      </w:r>
      <w:r>
        <w:rPr>
          <w:rStyle w:val="1657"/>
          <w:lang w:val="en-GB" w:eastAsia="zh-CN" w:bidi="hi-IN"/>
        </w:rPr>
        <w:t xml:space="preserve"> https://www.svoboda.org/a/27394105.html</w:t>
      </w:r>
      <w:r>
        <w:rPr>
          <w:lang w:val="en-GB" w:eastAsia="zh-CN" w:bidi="hi-IN"/>
        </w:rPr>
        <w:t xml:space="preserve"> </w:t>
      </w:r>
      <w:r/>
    </w:p>
  </w:footnote>
  <w:footnote w:id="12">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OVD-Info. “Moscow City Court dissolved the Centre for the Support of Indigenous and minority Peoples”. 6 November 2019. </w:t>
      </w:r>
      <w:r>
        <w:rPr>
          <w:rStyle w:val="1657"/>
          <w:lang w:val="en-GB" w:eastAsia="zh-CN" w:bidi="hi-IN"/>
        </w:rPr>
        <w:t xml:space="preserve">https://ovd.info/express-news/2019/11/06/mosgorsud-likvidiroval-centr-sodeystviya-korennym-malochislennym-narodam</w:t>
      </w:r>
      <w:r>
        <w:rPr>
          <w:lang w:val="en-GB" w:eastAsia="zh-CN" w:bidi="hi-IN"/>
        </w:rPr>
        <w:t xml:space="preserve"> </w:t>
      </w:r>
      <w:r/>
    </w:p>
  </w:footnote>
  <w:footnote w:id="13">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BBC News Russian Service. Foundation for the Protection of Indigenous Peoples designated a “foreign agent”. 11 March 2016.</w:t>
      </w:r>
      <w:r>
        <w:rPr>
          <w:rStyle w:val="1657"/>
          <w:lang w:val="en-GB" w:eastAsia="zh-CN" w:bidi="hi-IN"/>
        </w:rPr>
        <w:t xml:space="preserve"> https://www.bbc.com/russian/news/2016/03/160311_batani_foreign_agents</w:t>
      </w:r>
      <w:r>
        <w:rPr>
          <w:lang w:val="en-GB" w:eastAsia="zh-CN" w:bidi="hi-IN"/>
        </w:rPr>
        <w:t xml:space="preserve"> </w:t>
      </w:r>
      <w:r/>
    </w:p>
  </w:footnote>
  <w:footnote w:id="14">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Inoteka (Inoteka.io). Page on the “Batani” Foundation.</w:t>
      </w:r>
      <w:r>
        <w:rPr>
          <w:rStyle w:val="1657"/>
          <w:lang w:val="en-GB" w:eastAsia="zh-CN" w:bidi="hi-IN"/>
        </w:rPr>
        <w:t xml:space="preserve"> https://inoteka.io/ino/nekommercheskaya-organizaciya-mezhdunarodnyy-fond-razvitiya-korennykh-malochislennykh-narodov</w:t>
      </w:r>
      <w:r>
        <w:rPr>
          <w:lang w:val="en-GB" w:eastAsia="zh-CN" w:bidi="hi-IN"/>
        </w:rPr>
        <w:t xml:space="preserve"> </w:t>
      </w:r>
      <w:r/>
    </w:p>
  </w:footnote>
  <w:footnote w:id="15">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Kedr.Media. ‘The Ministry of Justice has designated “Kedr.Media” as a foreign agent’. 10 November 2023.</w:t>
      </w:r>
      <w:r>
        <w:rPr>
          <w:rStyle w:val="1657"/>
          <w:lang w:val="en-GB" w:eastAsia="zh-CN" w:bidi="hi-IN"/>
        </w:rPr>
        <w:t xml:space="preserve"> https://kedr.media/news/minyust-priznal-kedr-inostrannym-agentom/</w:t>
      </w:r>
      <w:r>
        <w:rPr>
          <w:lang w:val="en-GB" w:eastAsia="zh-CN" w:bidi="hi-IN"/>
        </w:rPr>
        <w:t xml:space="preserve"> </w:t>
      </w:r>
      <w:r/>
    </w:p>
  </w:footnote>
  <w:footnote w:id="16">
    <w:p>
      <w:pPr>
        <w:pStyle w:val="1704"/>
        <w:pBdr/>
        <w:spacing/>
        <w:ind/>
        <w:rPr/>
      </w:pPr>
      <w:r>
        <w:rPr>
          <w:rStyle w:val="1662"/>
        </w:rPr>
        <w:footnoteRef/>
      </w:r>
      <w:r>
        <w:rPr>
          <w:rFonts w:eastAsia="Tahoma" w:cs="FreeSans"/>
          <w:color w:val="auto"/>
          <w:sz w:val="20"/>
          <w:szCs w:val="20"/>
          <w:lang w:val="en-GB" w:eastAsia="zh-CN" w:bidi="hi-IN"/>
        </w:rPr>
        <w:t xml:space="preserve"> </w:t>
      </w:r>
      <w:r>
        <w:rPr>
          <w:rFonts w:eastAsia="Tahoma" w:cs="FreeSans"/>
          <w:color w:val="auto"/>
          <w:sz w:val="20"/>
          <w:szCs w:val="20"/>
          <w:lang w:val="en-GB" w:eastAsia="zh-CN" w:bidi="hi-IN"/>
        </w:rPr>
        <w:t xml:space="preserve">Radio Free Europe/Radio Liberty. “Ministry of Justice designates Kirill Nabutov and the media outlet ‘Smola’ as ‘foreign agents’”. 22 </w:t>
      </w:r>
      <w:r>
        <w:rPr>
          <w:rFonts w:eastAsia="Tahoma" w:cs="FreeSans"/>
          <w:color w:val="auto"/>
          <w:sz w:val="24"/>
          <w:szCs w:val="24"/>
          <w:lang w:val="en-GB" w:eastAsia="zh-CN" w:bidi="hi-IN"/>
        </w:rPr>
        <w:t xml:space="preserve">March</w:t>
      </w:r>
      <w:r>
        <w:rPr>
          <w:rFonts w:eastAsia="Tahoma" w:cs="FreeSans"/>
          <w:color w:val="auto"/>
          <w:sz w:val="20"/>
          <w:szCs w:val="20"/>
          <w:lang w:val="en-GB" w:eastAsia="zh-CN" w:bidi="hi-IN"/>
        </w:rPr>
        <w:t xml:space="preserve"> 2024.</w:t>
      </w:r>
      <w:r>
        <w:rPr>
          <w:rStyle w:val="1657"/>
          <w:rFonts w:eastAsia="Tahoma" w:cs="FreeSans"/>
          <w:color w:val="1155cc"/>
          <w:sz w:val="20"/>
          <w:szCs w:val="20"/>
          <w:u w:val="single"/>
          <w:lang w:val="en-GB" w:eastAsia="zh-CN" w:bidi="hi-IN"/>
        </w:rPr>
        <w:t xml:space="preserve"> https://www.svoboda.org/a/minyust-obyavil-inoagentom-kirilla-nabutova-i-media-smola-/32873501.html</w:t>
      </w:r>
      <w:r>
        <w:rPr>
          <w:rFonts w:eastAsia="Tahoma" w:cs="FreeSans"/>
          <w:color w:val="auto"/>
          <w:sz w:val="20"/>
          <w:szCs w:val="20"/>
          <w:lang w:val="en-GB" w:eastAsia="zh-CN" w:bidi="hi-IN"/>
        </w:rPr>
        <w:t xml:space="preserve"> </w:t>
      </w:r>
      <w:r/>
    </w:p>
  </w:footnote>
  <w:footnote w:id="17">
    <w:p>
      <w:pPr>
        <w:pStyle w:val="1704"/>
        <w:pBdr/>
        <w:spacing/>
        <w:ind/>
        <w:rPr/>
      </w:pPr>
      <w:r>
        <w:rPr>
          <w:rStyle w:val="1662"/>
        </w:rPr>
        <w:footnoteRef/>
      </w:r>
      <w:r>
        <w:rPr>
          <w:rFonts w:eastAsia="Tahoma" w:cs="FreeSans"/>
          <w:color w:val="auto"/>
          <w:sz w:val="20"/>
          <w:szCs w:val="20"/>
          <w:lang w:val="en-GB" w:eastAsia="zh-CN" w:bidi="hi-IN"/>
        </w:rPr>
        <w:t xml:space="preserve"> </w:t>
      </w:r>
      <w:r>
        <w:rPr>
          <w:rFonts w:eastAsia="Tahoma" w:cs="FreeSans"/>
          <w:color w:val="auto"/>
          <w:sz w:val="20"/>
          <w:szCs w:val="20"/>
          <w:lang w:val="en-GB" w:eastAsia="zh-CN" w:bidi="hi-IN"/>
        </w:rPr>
        <w:t xml:space="preserve">Environ</w:t>
      </w:r>
      <w:r>
        <w:rPr>
          <w:lang w:val="en-GB" w:eastAsia="zh-CN" w:bidi="hi-IN"/>
        </w:rPr>
        <w:t xml:space="preserve">mental Crisis Group. Register of environmental NGOs designated as “foreign agents”.</w:t>
      </w:r>
      <w:r>
        <w:rPr>
          <w:rStyle w:val="1657"/>
          <w:lang w:val="en-GB" w:eastAsia="zh-CN" w:bidi="hi-IN"/>
        </w:rPr>
        <w:t xml:space="preserve"> https://help-eco.info/envfa/</w:t>
      </w:r>
      <w:r>
        <w:rPr>
          <w:lang w:val="en-GB" w:eastAsia="zh-CN" w:bidi="hi-IN"/>
        </w:rPr>
        <w:t xml:space="preserve"> </w:t>
      </w:r>
      <w:r/>
    </w:p>
  </w:footnote>
  <w:footnote w:id="18">
    <w:p>
      <w:pPr>
        <w:pStyle w:val="1704"/>
        <w:pBdr/>
        <w:spacing/>
        <w:ind/>
        <w:rPr/>
      </w:pPr>
      <w:r>
        <w:rPr>
          <w:rStyle w:val="1662"/>
        </w:rPr>
        <w:footnoteRef/>
      </w:r>
      <w:r>
        <w:rPr>
          <w:rFonts w:eastAsia="Tahoma" w:cs="FreeSans"/>
          <w:color w:val="auto"/>
          <w:sz w:val="20"/>
          <w:szCs w:val="20"/>
          <w:lang w:val="en-GB" w:eastAsia="zh-CN" w:bidi="hi-IN"/>
        </w:rPr>
        <w:t xml:space="preserve"> </w:t>
      </w:r>
      <w:r>
        <w:rPr>
          <w:rFonts w:eastAsia="Tahoma" w:cs="FreeSans"/>
          <w:color w:val="auto"/>
          <w:sz w:val="20"/>
          <w:szCs w:val="20"/>
          <w:lang w:val="en-GB" w:eastAsia="zh-CN" w:bidi="hi-IN"/>
        </w:rPr>
        <w:t xml:space="preserve">The Barents Observer. “Repressive authorities have blocked the Indigenous Russia website”. 21</w:t>
      </w:r>
      <w:r>
        <w:rPr>
          <w:rFonts w:eastAsia="Tahoma" w:cs="FreeSans"/>
          <w:color w:val="auto"/>
          <w:sz w:val="24"/>
          <w:szCs w:val="24"/>
          <w:lang w:val="en-GB" w:eastAsia="zh-CN" w:bidi="hi-IN"/>
        </w:rPr>
        <w:t xml:space="preserve"> July</w:t>
      </w:r>
      <w:r>
        <w:rPr>
          <w:rFonts w:eastAsia="Tahoma" w:cs="FreeSans"/>
          <w:color w:val="auto"/>
          <w:sz w:val="20"/>
          <w:szCs w:val="20"/>
          <w:lang w:val="en-GB" w:eastAsia="zh-CN" w:bidi="hi-IN"/>
        </w:rPr>
        <w:t xml:space="preserve"> 2022.</w:t>
      </w:r>
      <w:r>
        <w:rPr>
          <w:rStyle w:val="1657"/>
          <w:rFonts w:eastAsia="Tahoma" w:cs="FreeSans"/>
          <w:color w:val="1155cc"/>
          <w:sz w:val="20"/>
          <w:szCs w:val="20"/>
          <w:u w:val="single"/>
          <w:lang w:val="en-GB" w:eastAsia="zh-CN" w:bidi="hi-IN"/>
        </w:rPr>
        <w:t xml:space="preserve"> https://ru.thebarentsobserver.com/repressivnye-vlasti-zablokirovali-sajt-Indigenous-russii/209424</w:t>
      </w:r>
      <w:r>
        <w:rPr>
          <w:rFonts w:eastAsia="Tahoma" w:cs="FreeSans"/>
          <w:color w:val="auto"/>
          <w:sz w:val="20"/>
          <w:szCs w:val="20"/>
          <w:lang w:val="en-GB" w:eastAsia="zh-CN" w:bidi="hi-IN"/>
        </w:rPr>
        <w:t xml:space="preserve"> </w:t>
      </w:r>
      <w:r/>
    </w:p>
  </w:footnote>
  <w:footnote w:id="19">
    <w:p>
      <w:pPr>
        <w:pStyle w:val="1704"/>
        <w:pBdr/>
        <w:spacing/>
        <w:ind/>
        <w:rPr/>
      </w:pPr>
      <w:r>
        <w:rPr>
          <w:rStyle w:val="1662"/>
        </w:rPr>
        <w:footnoteRef/>
      </w:r>
      <w:hyperlink r:id="rId5" w:tooltip="https://docs.un.org/A/HRC/42/30" w:history="1">
        <w:r>
          <w:rPr>
            <w:rStyle w:val="1657"/>
          </w:rPr>
          <w:t xml:space="preserve">https://docs.un.org/A/HRC/42/30</w:t>
        </w:r>
      </w:hyperlink>
      <w:r>
        <w:t xml:space="preserve">, </w:t>
      </w:r>
      <w:r>
        <w:t xml:space="preserve">para </w:t>
      </w:r>
      <w:r>
        <w:t xml:space="preserve">87</w:t>
      </w:r>
      <w:r>
        <w:t xml:space="preserve">, </w:t>
      </w:r>
      <w:hyperlink r:id="rId6" w:tooltip="https://srdefenders.org/russia-intimidation-of-ms-yana-tannagasheva-at-un-human-rights-council-joint-communication/" w:history="1">
        <w:r>
          <w:rPr>
            <w:rStyle w:val="1657"/>
          </w:rPr>
          <w:t xml:space="preserve">https://srdefenders.org/russia-intimidation-of-ms-yana-tannagasheva-at-un-human-rights-council-joint-communication/</w:t>
        </w:r>
      </w:hyperlink>
      <w:r>
        <w:t xml:space="preserve"> </w:t>
      </w:r>
      <w:r/>
    </w:p>
  </w:footnote>
  <w:footnote w:id="20">
    <w:p>
      <w:pPr>
        <w:pStyle w:val="1704"/>
        <w:pBdr/>
        <w:spacing/>
        <w:ind/>
        <w:rPr/>
      </w:pPr>
      <w:r>
        <w:rPr>
          <w:rStyle w:val="1662"/>
        </w:rPr>
        <w:footnoteRef/>
      </w:r>
      <w:r>
        <w:rPr>
          <w:lang w:val="en-GB" w:eastAsia="zh-CN" w:bidi="hi-IN"/>
        </w:rPr>
        <w:t xml:space="preserve"> </w:t>
      </w:r>
      <w:r>
        <w:rPr>
          <w:lang w:val="en-GB" w:eastAsia="zh-CN" w:bidi="hi-IN"/>
        </w:rPr>
        <w:t xml:space="preserve">OVD-Info. “Norwegian environmental foundation ‘Bellona’ declared an undesirable organisation”. 18 April 2023. </w:t>
      </w:r>
      <w:r>
        <w:rPr>
          <w:rStyle w:val="1657"/>
          <w:lang w:val="en-GB" w:eastAsia="zh-CN" w:bidi="hi-IN"/>
        </w:rPr>
        <w:t xml:space="preserve">https://ovd.info/express-news/2023/04/18/norvezhskiy-ekologicheskiy-fond-bellona-priznali-nezhelatelnoy-organizaciey</w:t>
      </w:r>
      <w:r>
        <w:rPr>
          <w:lang w:val="en-GB" w:eastAsia="zh-CN" w:bidi="hi-IN"/>
        </w:rPr>
        <w:t xml:space="preserve"> </w:t>
      </w:r>
      <w:r/>
    </w:p>
  </w:footnote>
  <w:footnote w:id="21">
    <w:p>
      <w:pPr>
        <w:pStyle w:val="1704"/>
        <w:pBdr/>
        <w:spacing/>
        <w:ind/>
        <w:rPr/>
      </w:pPr>
      <w:r>
        <w:rPr>
          <w:rStyle w:val="1662"/>
        </w:rPr>
        <w:footnoteRef/>
      </w:r>
      <w:r>
        <w:rPr>
          <w:lang w:val="en-GB" w:eastAsia="zh-CN" w:bidi="hi-IN"/>
        </w:rPr>
        <w:t xml:space="preserve"> </w:t>
      </w:r>
      <w:r>
        <w:rPr>
          <w:lang w:val="en-GB" w:eastAsia="zh-CN" w:bidi="hi-IN"/>
        </w:rPr>
        <w:t xml:space="preserve">BBC News Russian Service. “Greenpeace has been declared an undesirable organisation in Russia”. 19 May 2023.</w:t>
      </w:r>
      <w:r>
        <w:rPr>
          <w:rStyle w:val="1657"/>
          <w:lang w:val="en-GB" w:eastAsia="zh-CN" w:bidi="hi-IN"/>
        </w:rPr>
        <w:t xml:space="preserve"> https://www.bbc.com/russian/news-65649866</w:t>
      </w:r>
      <w:r>
        <w:rPr>
          <w:lang w:val="en-GB" w:eastAsia="zh-CN" w:bidi="hi-IN"/>
        </w:rPr>
        <w:t xml:space="preserve"> </w:t>
      </w:r>
      <w:r/>
    </w:p>
  </w:footnote>
  <w:footnote w:id="22">
    <w:p>
      <w:pPr>
        <w:pStyle w:val="1704"/>
        <w:pBdr/>
        <w:spacing/>
        <w:ind/>
        <w:rPr/>
      </w:pPr>
      <w:r>
        <w:rPr>
          <w:rStyle w:val="1662"/>
        </w:rPr>
        <w:footnoteRef/>
      </w:r>
      <w:r>
        <w:rPr>
          <w:lang w:val="en-GB" w:eastAsia="zh-CN" w:bidi="hi-IN"/>
        </w:rPr>
        <w:t xml:space="preserve"> </w:t>
      </w:r>
      <w:r>
        <w:rPr>
          <w:lang w:val="en-GB" w:eastAsia="zh-CN" w:bidi="hi-IN"/>
        </w:rPr>
        <w:t xml:space="preserve">BBC News Russian Service. Following Greenpeace, WWF has been declared an undesirable organisation in Russia. Although the authorities had previously cooperated with it. 21 June 2023.</w:t>
      </w:r>
      <w:r>
        <w:rPr>
          <w:rStyle w:val="1657"/>
          <w:lang w:val="en-GB" w:eastAsia="zh-CN" w:bidi="hi-IN"/>
        </w:rPr>
        <w:t xml:space="preserve"> https://www.bbc.com/russian/news-65977508</w:t>
      </w:r>
      <w:r>
        <w:rPr>
          <w:lang w:val="en-GB" w:eastAsia="zh-CN" w:bidi="hi-IN"/>
        </w:rPr>
        <w:t xml:space="preserve"> </w:t>
      </w:r>
      <w:r/>
    </w:p>
  </w:footnote>
  <w:footnote w:id="23">
    <w:p>
      <w:pPr>
        <w:pStyle w:val="1704"/>
        <w:pBdr/>
        <w:spacing/>
        <w:ind/>
        <w:rPr/>
      </w:pPr>
      <w:r>
        <w:rPr>
          <w:rStyle w:val="1662"/>
        </w:rPr>
        <w:footnoteRef/>
      </w:r>
      <w:r>
        <w:rPr>
          <w:lang w:val="en-GB" w:eastAsia="zh-CN" w:bidi="hi-IN"/>
        </w:rPr>
        <w:t xml:space="preserve"> </w:t>
      </w:r>
      <w:r>
        <w:rPr>
          <w:lang w:val="en-GB" w:eastAsia="zh-CN" w:bidi="hi-IN"/>
        </w:rPr>
        <w:t xml:space="preserve">Sever.Realii. “The absurdity of the Russian regime: How Estonian human rights activists became persona non grata”. 6 October 2023. </w:t>
      </w:r>
      <w:r>
        <w:rPr>
          <w:rStyle w:val="1657"/>
          <w:lang w:val="en-GB" w:eastAsia="zh-CN" w:bidi="hi-IN"/>
        </w:rPr>
        <w:t xml:space="preserve">https://www.severreal.org/a/absurd-rossiyskogo-rezhima-kak-estonskie-pravozaschitniki-stali-nezhelatelnymi-/32622450.html</w:t>
      </w:r>
      <w:r>
        <w:rPr>
          <w:lang w:val="en-GB" w:eastAsia="zh-CN" w:bidi="hi-IN"/>
        </w:rPr>
        <w:t xml:space="preserve"> </w:t>
      </w:r>
      <w:r/>
    </w:p>
  </w:footnote>
  <w:footnote w:id="24">
    <w:p>
      <w:pPr>
        <w:pStyle w:val="1704"/>
        <w:pBdr/>
        <w:spacing/>
        <w:ind/>
        <w:rPr/>
      </w:pPr>
      <w:r>
        <w:rPr>
          <w:rStyle w:val="1662"/>
        </w:rPr>
        <w:footnoteRef/>
      </w:r>
      <w:r>
        <w:rPr>
          <w:lang w:val="en-GB" w:eastAsia="zh-CN" w:bidi="hi-IN"/>
        </w:rPr>
        <w:t xml:space="preserve"> </w:t>
      </w:r>
      <w:r>
        <w:rPr>
          <w:lang w:val="en-GB" w:eastAsia="zh-CN" w:bidi="hi-IN"/>
        </w:rPr>
        <w:t xml:space="preserve">General Prosecutor’s Office of the Russian Federation. Official statement on the designation of the ‘Batani’ Foundation’s activities as undesirable. 13 May 2025.</w:t>
      </w:r>
      <w:r>
        <w:rPr>
          <w:rStyle w:val="1657"/>
          <w:lang w:val="en-GB" w:eastAsia="zh-CN" w:bidi="hi-IN"/>
        </w:rPr>
        <w:t xml:space="preserve"> https://epp.genproc.gov.ru/ru/gprf/mass-media/news/main/e5605800/</w:t>
      </w:r>
      <w:r>
        <w:rPr>
          <w:lang w:val="en-GB" w:eastAsia="zh-CN" w:bidi="hi-IN"/>
        </w:rPr>
        <w:t xml:space="preserve"> </w:t>
      </w:r>
      <w:r/>
    </w:p>
  </w:footnote>
  <w:footnote w:id="25">
    <w:p>
      <w:pPr>
        <w:pStyle w:val="1704"/>
        <w:pBdr/>
        <w:spacing/>
        <w:ind/>
        <w:rPr/>
      </w:pPr>
      <w:r>
        <w:rPr>
          <w:rStyle w:val="1662"/>
        </w:rPr>
        <w:footnoteRef/>
      </w:r>
      <w:r>
        <w:rPr>
          <w:lang w:val="en-GB" w:eastAsia="zh-CN" w:bidi="hi-IN"/>
        </w:rPr>
        <w:t xml:space="preserve"> </w:t>
      </w:r>
      <w:r>
        <w:rPr>
          <w:lang w:val="en-GB" w:eastAsia="zh-CN" w:bidi="hi-IN"/>
        </w:rPr>
        <w:t xml:space="preserve">Novaya Gazeta Europe. “The Supreme Court has recognised the ‘Anti-Russian Separatist Movement’ as extremist — no such organisation exists”. 7 June 2024. </w:t>
      </w:r>
      <w:r>
        <w:rPr>
          <w:rStyle w:val="1657"/>
          <w:lang w:val="en-GB" w:eastAsia="zh-CN" w:bidi="hi-IN"/>
        </w:rPr>
        <w:t xml:space="preserve">https://novayagazeta.eu/articles/2024/06/07/verkhovnyi-sud-priznal-ekstremistskim-antirossiiskoe-separatistskoe-dvizhenie-takoi-organizatsii-ne-sushchestvuet-news</w:t>
      </w:r>
      <w:r>
        <w:rPr>
          <w:lang w:val="en-GB" w:eastAsia="zh-CN" w:bidi="hi-IN"/>
        </w:rPr>
        <w:t xml:space="preserve"> </w:t>
      </w:r>
      <w:r/>
    </w:p>
  </w:footnote>
  <w:footnote w:id="26">
    <w:p>
      <w:pPr>
        <w:pStyle w:val="1704"/>
        <w:pBdr/>
        <w:spacing/>
        <w:ind/>
        <w:rPr/>
      </w:pPr>
      <w:r>
        <w:rPr>
          <w:rStyle w:val="1662"/>
        </w:rPr>
        <w:footnoteRef/>
      </w:r>
      <w:r>
        <w:rPr>
          <w:lang w:val="en-GB" w:eastAsia="zh-CN" w:bidi="hi-IN"/>
        </w:rPr>
        <w:t xml:space="preserve"> </w:t>
      </w:r>
      <w:r>
        <w:rPr>
          <w:lang w:val="en-GB" w:eastAsia="zh-CN" w:bidi="hi-IN"/>
        </w:rPr>
        <w:t xml:space="preserve">Radio Free Europe/Radio Liberty. “Ministry of Justice adds 55 organisations to list of extremist groups”. 26 July 2024.</w:t>
      </w:r>
      <w:r>
        <w:rPr>
          <w:rStyle w:val="1657"/>
          <w:lang w:val="en-GB" w:eastAsia="zh-CN" w:bidi="hi-IN"/>
        </w:rPr>
        <w:t xml:space="preserve"> https://www.svoboda.org/a/minyust-vklyuchil-v-spisok-ekstremistskih-55-organizatsiy-/33051877.html</w:t>
      </w:r>
      <w:r>
        <w:rPr>
          <w:lang w:val="en-GB" w:eastAsia="zh-CN" w:bidi="hi-IN"/>
        </w:rPr>
        <w:t xml:space="preserve"> </w:t>
      </w:r>
      <w:r/>
    </w:p>
  </w:footnote>
  <w:footnote w:id="27">
    <w:p>
      <w:pPr>
        <w:pStyle w:val="1704"/>
        <w:pBdr/>
        <w:spacing/>
        <w:ind/>
        <w:rPr/>
      </w:pPr>
      <w:r>
        <w:rPr>
          <w:rStyle w:val="1662"/>
        </w:rPr>
        <w:footnoteRef/>
      </w:r>
      <w:r>
        <w:rPr>
          <w:lang w:val="en-GB" w:eastAsia="zh-CN" w:bidi="hi-IN"/>
        </w:rPr>
        <w:t xml:space="preserve"> </w:t>
      </w:r>
      <w:r>
        <w:rPr>
          <w:lang w:val="en-GB" w:eastAsia="zh-CN" w:bidi="hi-IN"/>
        </w:rPr>
        <w:t xml:space="preserve">Radio Free Europe/Radio Liberty. “The ‘Forum of Free Post-Russian States’ has been designated a terrorist organisation in the Russian Federation”. 22 November 2024.</w:t>
      </w:r>
      <w:r>
        <w:rPr>
          <w:rStyle w:val="1657"/>
          <w:lang w:val="en-GB" w:eastAsia="zh-CN" w:bidi="hi-IN"/>
        </w:rPr>
        <w:t xml:space="preserve"> https://www.svoboda.org/a/v-rf-priznali-terroristicheskim-forum-svobodnyh-gosudarstv-postrossii-/33212207.html</w:t>
      </w:r>
      <w:r>
        <w:rPr>
          <w:lang w:val="en-GB" w:eastAsia="zh-CN" w:bidi="hi-IN"/>
        </w:rPr>
        <w:t xml:space="preserve"> </w:t>
      </w:r>
      <w:r/>
    </w:p>
  </w:footnote>
  <w:footnote w:id="28">
    <w:p>
      <w:pPr>
        <w:pStyle w:val="1704"/>
        <w:pBdr/>
        <w:spacing/>
        <w:ind/>
        <w:rPr/>
      </w:pPr>
      <w:r>
        <w:rPr>
          <w:rStyle w:val="1662"/>
        </w:rPr>
        <w:footnoteRef/>
      </w:r>
      <w:r>
        <w:rPr>
          <w:lang w:val="en-GB" w:eastAsia="zh-CN" w:bidi="hi-IN"/>
        </w:rPr>
        <w:t xml:space="preserve"> </w:t>
      </w:r>
      <w:r>
        <w:rPr>
          <w:lang w:val="en-GB" w:eastAsia="zh-CN" w:bidi="hi-IN"/>
        </w:rPr>
        <w:t xml:space="preserve">Sever.Realii. “The FSB has published a list of 172 ‘terrorist’ organisations.” 11 January 2025.</w:t>
      </w:r>
      <w:r>
        <w:rPr>
          <w:rStyle w:val="1657"/>
          <w:lang w:val="en-GB" w:eastAsia="zh-CN" w:bidi="hi-IN"/>
        </w:rPr>
        <w:t xml:space="preserve"> https://www.severreal.org/a/fsb-opublikovala-spisok-iz-172-terroristicheskih-obedineniy/33272270.html</w:t>
      </w:r>
      <w:r>
        <w:rPr>
          <w:lang w:val="en-GB" w:eastAsia="zh-CN" w:bidi="hi-IN"/>
        </w:rPr>
        <w:t xml:space="preserve"> </w:t>
      </w:r>
      <w:r/>
    </w:p>
  </w:footnote>
  <w:footnote w:id="29">
    <w:p>
      <w:pPr>
        <w:pStyle w:val="1704"/>
        <w:pBdr/>
        <w:spacing/>
        <w:ind/>
        <w:rPr/>
      </w:pPr>
      <w:r>
        <w:rPr>
          <w:rStyle w:val="1662"/>
        </w:rPr>
        <w:footnoteRef/>
      </w:r>
      <w:r>
        <w:t xml:space="preserve">Alexei Voloshinov:  Forum gosudarstv postRossii" priznan terro</w:t>
      </w:r>
      <w:r>
        <w:t xml:space="preserve">risticheskim v RF. Deutsche Welle, 22 November 2022, https://www.dw.com/ru/forum-svobodnyh-gosudarstv-postrossii-priznan-terroristiceskim-v-rf/a-70863485; The Moscow Times: Russia Labels 172 Indigenous Groups as ‘Terrorist’ Organizations. 22 November 2024 </w:t>
      </w:r>
      <w:hyperlink r:id="rId7" w:tooltip="https://www.themoscowtimes.com/2024/11/22/russia-labels-172-Indigenous-groups-as-terrorist-organizations-a87106" w:history="1">
        <w:r>
          <w:rPr>
            <w:rStyle w:val="1657"/>
            <w:rFonts w:eastAsia="Tahoma" w:cs="FreeSans"/>
            <w:color w:val="auto"/>
            <w:sz w:val="20"/>
            <w:lang w:val="en-GB" w:eastAsia="zh-CN" w:bidi="hi-IN"/>
          </w:rPr>
          <w:t xml:space="preserve">https://www.themoscowtimes.com/2024/11/22/russia-labels-172-Indigenous-groups-as-terrorist-organizations-a87106</w:t>
        </w:r>
      </w:hyperlink>
      <w:r>
        <w:t xml:space="preserve"> </w:t>
      </w:r>
      <w:r/>
    </w:p>
  </w:footnote>
  <w:footnote w:id="30">
    <w:p>
      <w:pPr>
        <w:pStyle w:val="1704"/>
        <w:pBdr/>
        <w:spacing/>
        <w:ind/>
        <w:rPr/>
      </w:pPr>
      <w:r>
        <w:rPr>
          <w:rStyle w:val="1662"/>
        </w:rPr>
        <w:footnoteRef/>
      </w:r>
      <w:r>
        <w:tab/>
        <w:t xml:space="preserve">Full list at </w:t>
      </w:r>
      <w:hyperlink r:id="rId8" w:tooltip="http://www.fsb.ru/fsb/npd/terror.htm" w:history="1">
        <w:r>
          <w:rPr>
            <w:rStyle w:val="1657"/>
          </w:rPr>
          <w:t xml:space="preserve">http://www.fsb.ru/fsb/npd/terror.htm</w:t>
        </w:r>
      </w:hyperlink>
      <w:r>
        <w:t xml:space="preserve">  The list is in Russian only, therefore Aborigen Forum is listed as ‘Абориген Форум’ and ICIPR as ‘Международный комитет коренных народов’ (‘International committee of Indigenous Peoples’.</w:t>
      </w:r>
      <w:r/>
    </w:p>
  </w:footnote>
  <w:footnote w:id="31">
    <w:p>
      <w:pPr>
        <w:pStyle w:val="1704"/>
        <w:pBdr/>
        <w:spacing/>
        <w:ind/>
        <w:rPr/>
      </w:pPr>
      <w:r>
        <w:rPr>
          <w:rStyle w:val="1662"/>
        </w:rPr>
        <w:footnoteRef/>
      </w:r>
      <w:r>
        <w:rPr>
          <w:lang w:val="en-GB" w:eastAsia="zh-CN" w:bidi="hi-IN"/>
        </w:rPr>
        <w:t xml:space="preserve"> </w:t>
      </w:r>
      <w:r>
        <w:rPr>
          <w:lang w:val="en-GB" w:eastAsia="zh-CN" w:bidi="hi-IN"/>
        </w:rPr>
        <w:t xml:space="preserve">OVD-Info. “An activist defending the rights of Indigenous peoples has been arrested in Moscow under a terrorism-related charge”. 20 December 2025. </w:t>
      </w:r>
      <w:r>
        <w:rPr>
          <w:rStyle w:val="1657"/>
          <w:lang w:val="en-GB" w:eastAsia="zh-CN" w:bidi="hi-IN"/>
        </w:rPr>
        <w:t xml:space="preserve">https://ovd.info/express-news/2025/12/20/v-moskve-aktivistku-zaschischayuschuyu-prava-korennykh-narodov-arestovali</w:t>
      </w:r>
      <w:r>
        <w:rPr>
          <w:lang w:val="en-GB" w:eastAsia="zh-CN" w:bidi="hi-IN"/>
        </w:rPr>
        <w:t xml:space="preserve"> </w:t>
      </w:r>
      <w:r/>
    </w:p>
  </w:footnote>
  <w:footnote w:id="32">
    <w:p>
      <w:pPr>
        <w:pStyle w:val="1704"/>
        <w:pBdr/>
        <w:spacing/>
        <w:ind/>
        <w:rPr/>
      </w:pPr>
      <w:r>
        <w:rPr>
          <w:rStyle w:val="1662"/>
        </w:rPr>
        <w:footnoteRef/>
      </w:r>
      <w:r>
        <w:rPr>
          <w:rFonts w:eastAsia="Tahoma" w:cs="FreeSans"/>
          <w:color w:val="auto"/>
          <w:sz w:val="20"/>
          <w:szCs w:val="20"/>
          <w:lang w:val="en-GB" w:eastAsia="zh-CN" w:bidi="hi-IN"/>
        </w:rPr>
        <w:t xml:space="preserve"> </w:t>
      </w:r>
      <w:r>
        <w:rPr>
          <w:lang w:val="en-GB" w:eastAsia="zh-CN" w:bidi="hi-IN"/>
        </w:rPr>
        <w:t xml:space="preserve">Ibid.</w:t>
      </w:r>
      <w:r/>
    </w:p>
  </w:footnote>
  <w:footnote w:id="33">
    <w:p>
      <w:pPr>
        <w:pStyle w:val="1704"/>
        <w:pBdr/>
        <w:spacing/>
        <w:ind/>
        <w:rPr/>
      </w:pPr>
      <w:r>
        <w:rPr>
          <w:rStyle w:val="1662"/>
        </w:rPr>
        <w:footnoteRef/>
      </w:r>
      <w:r>
        <w:rPr>
          <w:lang w:val="en-GB" w:eastAsia="zh-CN" w:bidi="hi-IN"/>
        </w:rPr>
        <w:t xml:space="preserve"> </w:t>
      </w:r>
      <w:r>
        <w:rPr>
          <w:lang w:val="en-GB" w:eastAsia="zh-CN" w:bidi="hi-IN"/>
        </w:rPr>
        <w:t xml:space="preserve">The Insider. Defender of the Indigenous peoples of the North sent to a remand centre under a terrorism charge. 7 April 2026.</w:t>
      </w:r>
      <w:r>
        <w:rPr>
          <w:rStyle w:val="1657"/>
          <w:lang w:val="en-GB" w:eastAsia="zh-CN" w:bidi="hi-IN"/>
        </w:rPr>
        <w:t xml:space="preserve"> https://theins.ru/news/291197</w:t>
      </w:r>
      <w:r>
        <w:rPr>
          <w:lang w:val="en-GB" w:eastAsia="zh-CN" w:bidi="hi-IN"/>
        </w:rPr>
        <w:t xml:space="preserve"> </w:t>
      </w:r>
      <w:r/>
    </w:p>
  </w:footnote>
  <w:footnote w:id="34">
    <w:p>
      <w:pPr>
        <w:pStyle w:val="1704"/>
        <w:pBdr/>
        <w:spacing/>
        <w:ind/>
        <w:rPr>
          <w:highlight w:val="none"/>
        </w:rPr>
      </w:pPr>
      <w:r>
        <w:rPr>
          <w:rStyle w:val="1662"/>
        </w:rPr>
        <w:footnoteRef/>
      </w:r>
      <w:r>
        <w:t xml:space="preserve"> </w:t>
      </w:r>
      <w:r>
        <w:t xml:space="preserve">Parliamentary Gazette. “Lawmaker proposed deferment right for Indigenous Small-numbered peoples”. 29 April 2026.  </w:t>
      </w:r>
      <w:hyperlink r:id="rId9" w:tooltip="https://www.pnp.ru/social/korennym-malochislennym-narodam-predlozhili-dat-pravo-na-otsrochku-ot-armii.html" w:history="1">
        <w:r>
          <w:rPr>
            <w:rStyle w:val="1657"/>
          </w:rPr>
          <w:t xml:space="preserve">https://www.pnp.ru/social/korennym-malochislennym-narodam-predlozhili-dat-pravo-na-otsrochku-ot-armii.html</w:t>
        </w:r>
      </w:hyperlink>
      <w:r/>
      <w:r>
        <w:rPr>
          <w:highlight w:val="none"/>
        </w:rPr>
      </w:r>
    </w:p>
  </w:footnote>
  <w:footnote w:id="35">
    <w:p>
      <w:pPr>
        <w:pStyle w:val="1704"/>
        <w:pBdr/>
        <w:spacing/>
        <w:ind/>
        <w:rPr/>
      </w:pPr>
      <w:r>
        <w:rPr>
          <w:rStyle w:val="1662"/>
        </w:rPr>
        <w:footnoteRef/>
      </w:r>
      <w:r>
        <w:rPr>
          <w:lang w:val="en-GB" w:eastAsia="zh-CN" w:bidi="hi-IN"/>
        </w:rPr>
        <w:t xml:space="preserve"> </w:t>
      </w:r>
      <w:r>
        <w:rPr>
          <w:lang w:val="en-GB" w:eastAsia="zh-CN" w:bidi="hi-IN"/>
        </w:rPr>
        <w:t xml:space="preserve">Indigenous Russia. “Maria Vyushkova. Disproportionate mobilisation of Indigenous peoples in the Khabarovsk Krai: the bare figures”. 19 August 2024.</w:t>
      </w:r>
      <w:r>
        <w:rPr>
          <w:rStyle w:val="1657"/>
          <w:lang w:val="en-GB" w:eastAsia="zh-CN" w:bidi="hi-IN"/>
        </w:rPr>
        <w:t xml:space="preserve"> https://Indigenous-russia.com/archives/38980</w:t>
      </w:r>
      <w:r>
        <w:rPr>
          <w:lang w:val="en-GB" w:eastAsia="zh-CN" w:bidi="hi-IN"/>
        </w:rPr>
        <w:t xml:space="preserve"> </w:t>
      </w:r>
      <w:r/>
    </w:p>
  </w:footnote>
  <w:footnote w:id="36">
    <w:p>
      <w:pPr>
        <w:pStyle w:val="1704"/>
        <w:pBdr/>
        <w:spacing/>
        <w:ind/>
        <w:rPr/>
      </w:pPr>
      <w:r>
        <w:rPr>
          <w:rStyle w:val="1662"/>
        </w:rPr>
        <w:footnoteRef/>
      </w:r>
      <w:r>
        <w:rPr>
          <w:rFonts w:eastAsia="Tahoma" w:cs="FreeSans"/>
          <w:color w:val="auto"/>
          <w:sz w:val="20"/>
          <w:szCs w:val="20"/>
          <w:lang w:val="en-GB" w:eastAsia="zh-CN" w:bidi="hi-IN"/>
        </w:rPr>
        <w:t xml:space="preserve"> </w:t>
      </w:r>
      <w:r>
        <w:rPr>
          <w:rFonts w:eastAsia="Tahoma" w:cs="FreeSans"/>
          <w:color w:val="auto"/>
          <w:sz w:val="20"/>
          <w:szCs w:val="20"/>
          <w:lang w:val="en-GB" w:eastAsia="zh-CN" w:bidi="hi-IN"/>
        </w:rPr>
        <w:t xml:space="preserve">i</w:t>
      </w:r>
      <w:r>
        <w:rPr>
          <w:lang w:val="en-GB" w:eastAsia="zh-CN" w:bidi="hi-IN"/>
        </w:rPr>
        <w:t xml:space="preserve">Stories. “Peoples on the Brink of Extinction”. 30 January 2023.</w:t>
      </w:r>
      <w:r>
        <w:rPr>
          <w:rStyle w:val="1657"/>
          <w:lang w:val="en-GB" w:eastAsia="zh-CN" w:bidi="hi-IN"/>
        </w:rPr>
        <w:t xml:space="preserve"> https://istories.media/stories/2023/01/30/narodi-na-grani-ischeznoveniya/</w:t>
      </w:r>
      <w:r>
        <w:rPr>
          <w:lang w:val="en-GB" w:eastAsia="zh-CN" w:bidi="hi-IN"/>
        </w:rPr>
        <w:t xml:space="preserve"> </w:t>
      </w:r>
      <w:r/>
    </w:p>
  </w:footnote>
  <w:footnote w:id="37">
    <w:p>
      <w:pPr>
        <w:pStyle w:val="1622"/>
        <w:pBdr/>
        <w:spacing/>
        <w:ind/>
        <w:rPr>
          <w:sz w:val="20"/>
          <w:szCs w:val="20"/>
        </w:rPr>
      </w:pPr>
      <w:r>
        <w:rPr>
          <w:rStyle w:val="1662"/>
        </w:rPr>
        <w:footnoteRef/>
      </w:r>
      <w:r>
        <w:rPr>
          <w:rFonts w:eastAsia="Tahoma" w:cs="FreeSans"/>
          <w:color w:val="auto"/>
          <w:sz w:val="20"/>
          <w:szCs w:val="20"/>
          <w:lang w:val="en-GB" w:eastAsia="zh-CN" w:bidi="hi-IN"/>
        </w:rPr>
        <w:t xml:space="preserve"> </w:t>
      </w:r>
      <w:r>
        <w:rPr>
          <w:rFonts w:eastAsia="Tahoma" w:cs="FreeSans"/>
          <w:color w:val="auto"/>
          <w:sz w:val="20"/>
          <w:szCs w:val="20"/>
          <w:lang w:val="en-GB" w:eastAsia="zh-CN" w:bidi="hi-IN"/>
        </w:rPr>
        <w:t xml:space="preserve">Indigenous Russia. “War and the Indigenous Peoples of Russia: Problems of Statistical Analysis”.</w:t>
      </w:r>
      <w:r>
        <w:rPr>
          <w:rStyle w:val="1657"/>
          <w:rFonts w:eastAsia="Tahoma" w:cs="FreeSans"/>
          <w:color w:val="1155cc"/>
          <w:sz w:val="20"/>
          <w:szCs w:val="20"/>
          <w:u w:val="single"/>
          <w:lang w:val="en-GB" w:eastAsia="zh-CN" w:bidi="hi-IN"/>
        </w:rPr>
        <w:t xml:space="preserve"> https://Indigenous-russia.com/archives/38980</w:t>
      </w:r>
      <w:r>
        <w:rPr>
          <w:rFonts w:eastAsia="Tahoma" w:cs="FreeSans"/>
          <w:color w:val="auto"/>
          <w:sz w:val="20"/>
          <w:szCs w:val="20"/>
          <w:lang w:val="en-GB" w:eastAsia="zh-CN" w:bidi="hi-IN"/>
        </w:rPr>
        <w:t xml:space="preserve"> </w:t>
      </w:r>
      <w:r>
        <w:rPr>
          <w:sz w:val="20"/>
          <w:szCs w:val="20"/>
        </w:rPr>
      </w:r>
    </w:p>
  </w:footnote>
  <w:footnote w:id="38">
    <w:p>
      <w:pPr>
        <w:pStyle w:val="1704"/>
        <w:pBdr/>
        <w:spacing/>
        <w:ind/>
        <w:rPr/>
      </w:pPr>
      <w:r>
        <w:rPr>
          <w:rStyle w:val="1662"/>
        </w:rPr>
        <w:footnoteRef/>
      </w:r>
      <w:r>
        <w:t xml:space="preserve">i.e. a settlement classified as being predominantly inhabited by Indigenous minority peoples</w:t>
      </w:r>
      <w:r/>
    </w:p>
  </w:footnote>
  <w:footnote w:id="39">
    <w:p>
      <w:pPr>
        <w:pStyle w:val="1704"/>
        <w:pBdr/>
        <w:spacing/>
        <w:ind/>
        <w:rPr/>
      </w:pPr>
      <w:r>
        <w:rPr>
          <w:rStyle w:val="1662"/>
        </w:rPr>
        <w:footnoteRef/>
      </w:r>
      <w:r>
        <w:rPr>
          <w:lang w:val="en-GB" w:eastAsia="zh-CN" w:bidi="hi-IN"/>
        </w:rPr>
        <w:t xml:space="preserve"> </w:t>
      </w:r>
      <w:r>
        <w:rPr>
          <w:lang w:val="en-GB" w:eastAsia="zh-CN" w:bidi="hi-IN"/>
        </w:rPr>
        <w:t xml:space="preserve">Indigenous Russia. “The head of a remote village in Yakutia told the Il Tumen deputies the harsh truth”. 31 March 2026.</w:t>
      </w:r>
      <w:r>
        <w:rPr>
          <w:rStyle w:val="1657"/>
          <w:lang w:val="en-GB" w:eastAsia="zh-CN" w:bidi="hi-IN"/>
        </w:rPr>
        <w:t xml:space="preserve"> https://Indigenous-russia.com/archives/46756</w:t>
      </w:r>
      <w:r>
        <w:rPr>
          <w:lang w:val="en-GB" w:eastAsia="zh-CN" w:bidi="hi-IN"/>
        </w:rPr>
        <w:t xml:space="preserve">   </w:t>
      </w:r>
      <w:r/>
    </w:p>
  </w:footnote>
  <w:footnote w:id="40">
    <w:p>
      <w:pPr>
        <w:pStyle w:val="1704"/>
        <w:pBdr/>
        <w:spacing/>
        <w:ind/>
        <w:rPr/>
      </w:pPr>
      <w:r>
        <w:rPr>
          <w:rStyle w:val="1662"/>
        </w:rPr>
        <w:footnoteRef/>
      </w:r>
      <w:r>
        <w:rPr>
          <w:lang w:val="en-GB" w:eastAsia="zh-CN" w:bidi="hi-IN"/>
        </w:rPr>
        <w:t xml:space="preserve"> </w:t>
      </w:r>
      <w:r>
        <w:rPr>
          <w:lang w:val="en-GB" w:eastAsia="zh-CN" w:bidi="hi-IN"/>
        </w:rPr>
        <w:t xml:space="preserve">CurrentTime. “How members of Russia’s small ethnic groups are dying in the war against Ukraine”. 19 August 2024.</w:t>
      </w:r>
      <w:r>
        <w:rPr>
          <w:rStyle w:val="1657"/>
          <w:lang w:val="en-GB" w:eastAsia="zh-CN" w:bidi="hi-IN"/>
        </w:rPr>
        <w:t xml:space="preserve"> https://www.currenttime.tv/a/kak-na-voyne-protiv-ukrainy-gibnut-predstaviteli-malyh-narodov-rossii/33076873.html</w:t>
      </w:r>
      <w:r/>
    </w:p>
  </w:footnote>
  <w:footnote w:id="41">
    <w:p>
      <w:pPr>
        <w:pStyle w:val="1704"/>
        <w:pBdr/>
        <w:spacing/>
        <w:ind/>
        <w:rPr/>
      </w:pPr>
      <w:r>
        <w:rPr>
          <w:rStyle w:val="1662"/>
        </w:rPr>
        <w:footnoteRef/>
      </w:r>
      <w:r>
        <w:rPr>
          <w:lang w:val="en-GB" w:eastAsia="zh-CN" w:bidi="hi-IN"/>
        </w:rPr>
        <w:t xml:space="preserve"> </w:t>
      </w:r>
      <w:r>
        <w:rPr>
          <w:lang w:val="en-GB" w:eastAsia="zh-CN" w:bidi="hi-IN"/>
        </w:rPr>
        <w:t xml:space="preserve">Novaya Gazeta Baltia. “Millions in food shop debts, bears on the streets”. 20 May 2026.</w:t>
      </w:r>
      <w:r>
        <w:rPr>
          <w:rStyle w:val="1657"/>
          <w:lang w:val="en-GB" w:eastAsia="zh-CN" w:bidi="hi-IN"/>
        </w:rPr>
        <w:t xml:space="preserve"> https://novayagazeta.ee/articles/2026/05/20/millionnye-dolgi-v-produktovykh-medvedi-na-ulitsakh</w:t>
      </w:r>
      <w:r>
        <w:rPr>
          <w:lang w:val="en-GB" w:eastAsia="zh-CN" w:bidi="hi-IN"/>
        </w:rPr>
        <w:t xml:space="preserve">  </w:t>
      </w:r>
      <w:r/>
    </w:p>
  </w:footnote>
  <w:footnote w:id="42">
    <w:p>
      <w:pPr>
        <w:pStyle w:val="1704"/>
        <w:pBdr/>
        <w:spacing/>
        <w:ind/>
        <w:rPr>
          <w:lang w:val="en-GB" w:eastAsia="zh-CN" w:bidi="hi-IN"/>
          <w14:ligatures w14:val="none"/>
        </w:rPr>
      </w:pPr>
      <w:r>
        <w:rPr>
          <w:rStyle w:val="1662"/>
        </w:rPr>
        <w:footnoteRef/>
      </w:r>
      <w:r>
        <w:t xml:space="preserve"> </w:t>
      </w:r>
      <w:r>
        <w:rPr>
          <w:lang w:val="en-GB"/>
        </w:rPr>
        <w:t xml:space="preserve">Amnesty International. “Meet three female Indigenous anti-war activists from Russia”. 23 April 2025.</w:t>
      </w:r>
      <w:r>
        <w:rPr>
          <w:lang w:val="en-GB" w:eastAsia="zh-CN" w:bidi="hi-IN"/>
          <w14:ligatures w14:val="none"/>
        </w:rPr>
      </w:r>
    </w:p>
    <w:p>
      <w:pPr>
        <w:pStyle w:val="1704"/>
        <w:pBdr/>
        <w:spacing/>
        <w:ind/>
        <w:rPr/>
      </w:pPr>
      <w:r/>
      <w:hyperlink r:id="rId10" w:tooltip="https://www.amnesty.org/en/latest/campaigns/2025/04/meet-three-female-indigenous-anti-war-activists-from-russia/" w:history="1">
        <w:r>
          <w:rPr>
            <w:rStyle w:val="1657"/>
          </w:rPr>
          <w:t xml:space="preserve">https://www.amnesty.org/en/latest/campaigns/2025/04/meet-three-female-indigenous-anti-war-activists-from-russia/</w:t>
        </w:r>
      </w:hyperlink>
      <w:r>
        <w:t xml:space="preserve"> </w:t>
      </w:r>
      <w:r/>
    </w:p>
  </w:footnote>
  <w:footnote w:id="43">
    <w:p>
      <w:pPr>
        <w:pStyle w:val="1704"/>
        <w:pBdr/>
        <w:spacing/>
        <w:ind/>
        <w:rPr/>
      </w:pPr>
      <w:r>
        <w:rPr>
          <w:rStyle w:val="1662"/>
        </w:rPr>
        <w:footnoteRef/>
      </w:r>
      <w:r>
        <w:t xml:space="preserve"> </w:t>
      </w:r>
      <w:r>
        <w:rPr>
          <w:lang w:val="en-GB" w:eastAsia="zh-CN" w:bidi="hi-IN"/>
        </w:rPr>
        <w:t xml:space="preserve">Novaya Gazeta Baltia. “Millions in food shop debts, bears on the streets”. 20 May 2026.</w:t>
      </w:r>
      <w:r>
        <w:rPr>
          <w:rStyle w:val="1657"/>
          <w:lang w:val="en-GB" w:eastAsia="zh-CN" w:bidi="hi-IN"/>
        </w:rPr>
        <w:t xml:space="preserve"> https://novayagazeta.ee/articles/2026/05/20/millionnye-dolgi-v-produktovykh-medvedi-na-ulitsakh</w:t>
      </w:r>
      <w:r>
        <w:rPr>
          <w:lang w:val="en-GB" w:eastAsia="zh-CN" w:bidi="hi-IN"/>
        </w:rPr>
        <w:t xml:space="preserve">  </w:t>
      </w:r>
      <w:r/>
    </w:p>
  </w:footnote>
  <w:footnote w:id="44">
    <w:p>
      <w:pPr>
        <w:pStyle w:val="1704"/>
        <w:pBdr/>
        <w:spacing/>
        <w:ind/>
        <w:rPr>
          <w:lang w:val="en-GB" w:eastAsia="zh-CN" w:bidi="hi-IN"/>
          <w14:ligatures w14:val="none"/>
        </w:rPr>
      </w:pPr>
      <w:r>
        <w:rPr>
          <w:rStyle w:val="1662"/>
        </w:rPr>
        <w:footnoteRef/>
      </w:r>
      <w:r>
        <w:t xml:space="preserve"> </w:t>
      </w:r>
      <w:r>
        <w:rPr>
          <w:lang w:val="en-GB"/>
        </w:rPr>
        <w:t xml:space="preserve">Radio Liberty. “Coffin Money Instead of Reindeer: A Vanishing Life on the Arctic Island of Kolguev”. 31 August 2026.</w:t>
      </w:r>
      <w:r>
        <w:rPr>
          <w:lang w:val="en-GB" w:eastAsia="zh-CN" w:bidi="hi-IN"/>
          <w14:ligatures w14:val="none"/>
        </w:rPr>
      </w:r>
    </w:p>
    <w:p>
      <w:pPr>
        <w:pStyle w:val="1704"/>
        <w:pBdr/>
        <w:spacing/>
        <w:ind/>
        <w:rPr/>
      </w:pPr>
      <w:r>
        <w:t xml:space="preserve"> </w:t>
      </w:r>
      <w:hyperlink r:id="rId11" w:tooltip="https://www.svoboda.org/a/grobovye-vmesto-oleney-ischezayuschaya-zhiznj-na-arkticheskom-ostrove-kolguev/33843170.html" w:history="1">
        <w:r>
          <w:rPr>
            <w:rStyle w:val="1657"/>
          </w:rPr>
          <w:t xml:space="preserve">https://www.svoboda.org/a/grobovye-vmesto-oleney-ischezayuschaya-zhiznj-na-arkticheskom-ostrove-kolguev/33843170.html</w:t>
        </w:r>
      </w:hyperlink>
      <w:r>
        <w:t xml:space="preserve"> </w:t>
      </w:r>
      <w:r/>
    </w:p>
  </w:footnote>
  <w:footnote w:id="45">
    <w:p>
      <w:pPr>
        <w:pStyle w:val="1704"/>
        <w:pBdr/>
        <w:spacing/>
        <w:ind/>
        <w:rPr/>
      </w:pPr>
      <w:r>
        <w:rPr>
          <w:rStyle w:val="1662"/>
        </w:rPr>
        <w:footnoteRef/>
      </w:r>
      <w:r>
        <w:rPr>
          <w:lang w:val="en-GB" w:eastAsia="zh-CN" w:bidi="hi-IN"/>
        </w:rPr>
        <w:t xml:space="preserve"> </w:t>
      </w:r>
      <w:r>
        <w:rPr>
          <w:lang w:val="en-GB" w:eastAsia="zh-CN" w:bidi="hi-IN"/>
        </w:rPr>
        <w:t xml:space="preserve">Vostokgosplan. Digest: ‘Indigenous and minority Peoples of the North, Siberia and the Far East’. 2023. p. 30. </w:t>
      </w:r>
      <w:r>
        <w:rPr>
          <w:rStyle w:val="1657"/>
          <w:lang w:val="en-GB" w:eastAsia="zh-CN" w:bidi="hi-IN"/>
        </w:rPr>
        <w:t xml:space="preserve"> https://vostokgosplan.ru/wp-content/uploads/digest-kmns.pdf</w:t>
      </w:r>
      <w:r>
        <w:rPr>
          <w:lang w:val="en-GB" w:eastAsia="zh-CN" w:bidi="hi-IN"/>
        </w:rPr>
        <w:t xml:space="preserve"> </w:t>
      </w:r>
      <w:r/>
    </w:p>
  </w:footnote>
  <w:footnote w:id="46">
    <w:p>
      <w:pPr>
        <w:pStyle w:val="1704"/>
        <w:pBdr/>
        <w:spacing/>
        <w:ind/>
        <w:rPr>
          <w:lang w:val="en-GB" w:eastAsia="zh-CN" w:bidi="hi-IN"/>
        </w:rPr>
      </w:pPr>
      <w:r>
        <w:rPr>
          <w:rStyle w:val="1662"/>
        </w:rPr>
        <w:footnoteRef/>
      </w:r>
      <w:r>
        <w:rPr>
          <w:lang w:val="en-GB" w:eastAsia="zh-CN" w:bidi="hi-IN"/>
        </w:rPr>
        <w:t xml:space="preserve"> </w:t>
      </w:r>
      <w:r>
        <w:rPr>
          <w:lang w:val="en-GB" w:eastAsia="zh-CN" w:bidi="hi-IN"/>
        </w:rPr>
        <w:t xml:space="preserve">Ibid., pp. 9, 12, 14.</w:t>
      </w:r>
      <w:r>
        <w:rPr>
          <w:lang w:val="en-GB" w:eastAsia="zh-CN" w:bidi="hi-IN"/>
        </w:rPr>
      </w:r>
    </w:p>
  </w:footnote>
  <w:footnote w:id="47">
    <w:p>
      <w:pPr>
        <w:pStyle w:val="1704"/>
        <w:pBdr/>
        <w:spacing/>
        <w:ind/>
        <w:rPr/>
      </w:pPr>
      <w:r>
        <w:rPr>
          <w:rStyle w:val="1662"/>
        </w:rPr>
        <w:footnoteRef/>
      </w:r>
      <w:r>
        <w:rPr>
          <w:lang w:val="en-GB" w:eastAsia="zh-CN" w:bidi="hi-IN"/>
        </w:rPr>
        <w:t xml:space="preserve"> </w:t>
      </w:r>
      <w:r>
        <w:rPr>
          <w:lang w:val="en-GB" w:eastAsia="zh-CN" w:bidi="hi-IN"/>
        </w:rPr>
        <w:t xml:space="preserve">RBC. “Indigenous and minority Peoples of Russia: How Many Are There and How Do They Live?”. 1 October 2025.</w:t>
      </w:r>
      <w:r>
        <w:rPr>
          <w:rStyle w:val="1657"/>
          <w:lang w:val="en-GB" w:eastAsia="zh-CN" w:bidi="hi-IN"/>
        </w:rPr>
        <w:t xml:space="preserve"> https://www.rbc.ru/life/news/68d86d9d9a7947b5cc0cb618</w:t>
      </w:r>
      <w:r>
        <w:rPr>
          <w:lang w:val="en-GB" w:eastAsia="zh-CN" w:bidi="hi-IN"/>
        </w:rPr>
        <w:t xml:space="preserve"> </w:t>
      </w:r>
      <w:r/>
    </w:p>
  </w:footnote>
  <w:footnote w:id="48">
    <w:p>
      <w:pPr>
        <w:pStyle w:val="1704"/>
        <w:pBdr/>
        <w:spacing/>
        <w:ind/>
        <w:rPr/>
      </w:pPr>
      <w:r>
        <w:rPr>
          <w:rStyle w:val="1662"/>
        </w:rPr>
        <w:footnoteRef/>
      </w:r>
      <w:r>
        <w:rPr>
          <w:lang w:val="en-GB" w:eastAsia="zh-CN" w:bidi="hi-IN"/>
        </w:rPr>
        <w:t xml:space="preserve"> </w:t>
      </w:r>
      <w:r>
        <w:rPr>
          <w:lang w:val="en-GB" w:eastAsia="zh-CN" w:bidi="hi-IN"/>
        </w:rPr>
        <w:t xml:space="preserve">Accounting Chamber of the Russian Federation. Report on the results of the expert and analy</w:t>
      </w:r>
      <w:r>
        <w:rPr>
          <w:lang w:val="en-GB" w:eastAsia="zh-CN" w:bidi="hi-IN"/>
        </w:rPr>
        <w:t xml:space="preserve">tical event ‘Analysis of the implementation of the Russian Federation’s state national policy strategy for the period up to 2025 with regard to safeguarding the rights of Indigenous and minority peoples in 2013–2018’, section 2.2 of the conclusions. 2019. </w:t>
      </w:r>
      <w:r>
        <w:rPr>
          <w:rStyle w:val="1657"/>
          <w:lang w:val="en-GB" w:eastAsia="zh-CN" w:bidi="hi-IN"/>
        </w:rPr>
        <w:t xml:space="preserve">https://ach.gov.ru/upload/iblock/98d/98dcf2eb9715e70b8fb077429b5780c9.pdf</w:t>
      </w:r>
      <w:r>
        <w:rPr>
          <w:lang w:val="en-GB" w:eastAsia="zh-CN" w:bidi="hi-IN"/>
        </w:rPr>
        <w:t xml:space="preserve"> </w:t>
      </w:r>
      <w:r/>
    </w:p>
  </w:footnote>
  <w:footnote w:id="49">
    <w:p>
      <w:pPr>
        <w:pStyle w:val="1704"/>
        <w:pBdr/>
        <w:spacing/>
        <w:ind/>
        <w:rPr/>
      </w:pPr>
      <w:r>
        <w:rPr>
          <w:rStyle w:val="1662"/>
        </w:rPr>
        <w:footnoteRef/>
      </w:r>
      <w:r>
        <w:t xml:space="preserve"> </w:t>
      </w:r>
      <w:r>
        <w:t xml:space="preserve">Vostokgosplan, op. cit., p. 20.</w:t>
      </w:r>
      <w:r/>
    </w:p>
  </w:footnote>
  <w:footnote w:id="50">
    <w:p>
      <w:pPr>
        <w:pStyle w:val="1704"/>
        <w:pBdr/>
        <w:spacing/>
        <w:ind/>
        <w:rPr>
          <w:lang w:val="en-GB" w:eastAsia="zh-CN" w:bidi="hi-IN"/>
        </w:rPr>
      </w:pPr>
      <w:r>
        <w:rPr>
          <w:rStyle w:val="1662"/>
        </w:rPr>
        <w:footnoteRef/>
      </w:r>
      <w:r>
        <w:rPr>
          <w:lang w:val="en-GB" w:eastAsia="zh-CN" w:bidi="hi-IN"/>
        </w:rPr>
        <w:t xml:space="preserve"> </w:t>
      </w:r>
      <w:r>
        <w:rPr>
          <w:lang w:val="en-GB" w:eastAsia="zh-CN" w:bidi="hi-IN"/>
        </w:rPr>
        <w:t xml:space="preserve">Vostokgosplan, op. cit., p. </w:t>
      </w:r>
      <w:r>
        <w:rPr>
          <w:lang w:val="en-GB" w:eastAsia="zh-CN" w:bidi="hi-IN"/>
        </w:rPr>
      </w:r>
    </w:p>
  </w:footnote>
  <w:footnote w:id="51">
    <w:p>
      <w:pPr>
        <w:pStyle w:val="1704"/>
        <w:pBdr/>
        <w:spacing/>
        <w:ind/>
        <w:rPr/>
      </w:pPr>
      <w:r>
        <w:rPr>
          <w:rStyle w:val="1662"/>
        </w:rPr>
        <w:footnoteRef/>
      </w:r>
      <w:r>
        <w:t xml:space="preserve"> </w:t>
      </w:r>
      <w:r>
        <w:t xml:space="preserve">An example of what the authorities consider a valid proof is the old Soviet passport which contained an entry called “nationality”, referring not to citizenship but to ethnicity.</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true"/>
      <w:lvlJc w:val="left"/>
      <w:lvlText w:val="%1"/>
      <w:numFmt w:val="upperRoman"/>
      <w:pPr>
        <w:pBdr/>
        <w:tabs>
          <w:tab w:val="num" w:leader="none" w:pos="0"/>
        </w:tabs>
        <w:spacing/>
        <w:ind w:firstLine="0" w:left="0"/>
      </w:pPr>
      <w:pStyle w:val="1623"/>
      <w:rPr/>
      <w:start w:val="1"/>
      <w:suff w:val="tab"/>
    </w:lvl>
    <w:lvl w:ilvl="1">
      <w:isLgl w:val="true"/>
      <w:lvlJc w:val="left"/>
      <w:lvlText w:val="%1.%2"/>
      <w:numFmt w:val="upperLetter"/>
      <w:pPr>
        <w:pBdr/>
        <w:tabs>
          <w:tab w:val="num" w:leader="none" w:pos="0"/>
        </w:tabs>
        <w:spacing/>
        <w:ind w:firstLine="0" w:left="0"/>
      </w:pPr>
      <w:pStyle w:val="1624"/>
      <w:rPr/>
      <w:start w:val="1"/>
      <w:suff w:val="tab"/>
    </w:lvl>
    <w:lvl w:ilvl="2">
      <w:isLgl w:val="true"/>
      <w:lvlJc w:val="left"/>
      <w:lvlText w:val="%3"/>
      <w:numFmt w:val="decimal"/>
      <w:pPr>
        <w:pBdr/>
        <w:tabs>
          <w:tab w:val="num" w:leader="none" w:pos="0"/>
        </w:tabs>
        <w:spacing/>
        <w:ind w:firstLine="0" w:left="0"/>
      </w:pPr>
      <w:pStyle w:val="1625"/>
      <w:rPr/>
      <w:start w:val="1"/>
      <w:suff w:val="tab"/>
    </w:lvl>
    <w:lvl w:ilvl="3">
      <w:isLgl w:val="true"/>
      <w:lvlJc w:val="left"/>
      <w:lvlText w:val="%4"/>
      <w:numFmt w:val="none"/>
      <w:pPr>
        <w:pBdr/>
        <w:tabs>
          <w:tab w:val="num" w:leader="none" w:pos="0"/>
        </w:tabs>
        <w:spacing/>
        <w:ind w:firstLine="0" w:left="0"/>
      </w:pPr>
      <w:rPr/>
      <w:start w:val="1"/>
      <w:suff w:val="nothing"/>
    </w:lvl>
    <w:lvl w:ilvl="4">
      <w:isLgl w:val="true"/>
      <w:lvlJc w:val="left"/>
      <w:lvlText w:val="%5"/>
      <w:numFmt w:val="none"/>
      <w:pPr>
        <w:pBdr/>
        <w:tabs>
          <w:tab w:val="num" w:leader="none" w:pos="0"/>
        </w:tabs>
        <w:spacing/>
        <w:ind w:firstLine="0" w:left="0"/>
      </w:pPr>
      <w:rPr/>
      <w:start w:val="1"/>
      <w:suff w:val="nothing"/>
    </w:lvl>
    <w:lvl w:ilvl="5">
      <w:isLgl w:val="true"/>
      <w:lvlJc w:val="left"/>
      <w:lvlText w:val="%6"/>
      <w:numFmt w:val="none"/>
      <w:pPr>
        <w:pBdr/>
        <w:tabs>
          <w:tab w:val="num" w:leader="none" w:pos="0"/>
        </w:tabs>
        <w:spacing/>
        <w:ind w:firstLine="0" w:left="0"/>
      </w:pPr>
      <w:rPr/>
      <w:start w:val="1"/>
      <w:suff w:val="nothing"/>
    </w:lvl>
    <w:lvl w:ilvl="6">
      <w:isLgl w:val="true"/>
      <w:lvlJc w:val="left"/>
      <w:lvlText w:val="%7"/>
      <w:numFmt w:val="none"/>
      <w:pPr>
        <w:pBdr/>
        <w:tabs>
          <w:tab w:val="num" w:leader="none" w:pos="0"/>
        </w:tabs>
        <w:spacing/>
        <w:ind w:firstLine="0" w:left="0"/>
      </w:pPr>
      <w:rPr/>
      <w:start w:val="1"/>
      <w:suff w:val="nothing"/>
    </w:lvl>
    <w:lvl w:ilvl="7">
      <w:isLgl w:val="true"/>
      <w:lvlJc w:val="left"/>
      <w:lvlText w:val="%8"/>
      <w:numFmt w:val="none"/>
      <w:pPr>
        <w:pBdr/>
        <w:tabs>
          <w:tab w:val="num" w:leader="none" w:pos="0"/>
        </w:tabs>
        <w:spacing/>
        <w:ind w:firstLine="0" w:left="0"/>
      </w:pPr>
      <w:rPr/>
      <w:start w:val="1"/>
      <w:suff w:val="nothing"/>
    </w:lvl>
    <w:lvl w:ilvl="8">
      <w:isLgl w:val="true"/>
      <w:lvlJc w:val="left"/>
      <w:lvlText w:val="%9"/>
      <w:numFmt w:val="none"/>
      <w:pPr>
        <w:pBdr/>
        <w:tabs>
          <w:tab w:val="num" w:leader="none" w:pos="0"/>
        </w:tabs>
        <w:spacing/>
        <w:ind w:firstLine="0" w:left="0"/>
      </w:pPr>
      <w:rPr/>
      <w:start w:val="1"/>
      <w:suff w:val="nothing"/>
    </w:lvl>
  </w:abstractNum>
  <w:abstractNum w:abstractNumId="1">
    <w:lvl w:ilvl="0">
      <w:isLgl w:val="true"/>
      <w:lvlJc w:val="left"/>
      <w:lvlText w:val="%1)"/>
      <w:numFmt w:val="decimal"/>
      <w:pPr>
        <w:pBdr/>
        <w:tabs>
          <w:tab w:val="num" w:leader="none" w:pos="0"/>
        </w:tabs>
        <w:spacing/>
        <w:ind w:hanging="360" w:left="720"/>
      </w:pPr>
      <w:rPr>
        <w:u w:val="none"/>
      </w:rPr>
      <w:start w:val="1"/>
      <w:suff w:val="tab"/>
    </w:lvl>
    <w:lvl w:ilvl="1">
      <w:isLgl w:val="true"/>
      <w:lvlJc w:val="left"/>
      <w:lvlText w:val="%2)"/>
      <w:numFmt w:val="lowerLetter"/>
      <w:pPr>
        <w:pBdr/>
        <w:tabs>
          <w:tab w:val="num" w:leader="none" w:pos="0"/>
        </w:tabs>
        <w:spacing/>
        <w:ind w:hanging="360" w:left="1440"/>
      </w:pPr>
      <w:rPr>
        <w:u w:val="none"/>
      </w:rPr>
      <w:start w:val="1"/>
      <w:suff w:val="tab"/>
    </w:lvl>
    <w:lvl w:ilvl="2">
      <w:isLgl w:val="true"/>
      <w:lvlJc w:val="right"/>
      <w:lvlText w:val="%3)"/>
      <w:numFmt w:val="lowerRoman"/>
      <w:pPr>
        <w:pBdr/>
        <w:tabs>
          <w:tab w:val="num" w:leader="none" w:pos="0"/>
        </w:tabs>
        <w:spacing/>
        <w:ind w:hanging="360" w:left="2160"/>
      </w:pPr>
      <w:rPr>
        <w:u w:val="none"/>
      </w:rPr>
      <w:start w:val="1"/>
      <w:suff w:val="tab"/>
    </w:lvl>
    <w:lvl w:ilvl="3">
      <w:isLgl w:val="true"/>
      <w:lvlJc w:val="left"/>
      <w:lvlText w:val="(%4)"/>
      <w:numFmt w:val="decimal"/>
      <w:pPr>
        <w:pBdr/>
        <w:tabs>
          <w:tab w:val="num" w:leader="none" w:pos="0"/>
        </w:tabs>
        <w:spacing/>
        <w:ind w:hanging="360" w:left="2880"/>
      </w:pPr>
      <w:rPr>
        <w:u w:val="none"/>
      </w:rPr>
      <w:start w:val="1"/>
      <w:suff w:val="tab"/>
    </w:lvl>
    <w:lvl w:ilvl="4">
      <w:isLgl w:val="true"/>
      <w:lvlJc w:val="left"/>
      <w:lvlText w:val="(%5)"/>
      <w:numFmt w:val="lowerLetter"/>
      <w:pPr>
        <w:pBdr/>
        <w:tabs>
          <w:tab w:val="num" w:leader="none" w:pos="0"/>
        </w:tabs>
        <w:spacing/>
        <w:ind w:hanging="360" w:left="3600"/>
      </w:pPr>
      <w:rPr>
        <w:u w:val="none"/>
      </w:rPr>
      <w:start w:val="1"/>
      <w:suff w:val="tab"/>
    </w:lvl>
    <w:lvl w:ilvl="5">
      <w:isLgl w:val="true"/>
      <w:lvlJc w:val="right"/>
      <w:lvlText w:val="(%6)"/>
      <w:numFmt w:val="lowerRoman"/>
      <w:pPr>
        <w:pBdr/>
        <w:tabs>
          <w:tab w:val="num" w:leader="none" w:pos="0"/>
        </w:tabs>
        <w:spacing/>
        <w:ind w:hanging="360" w:left="4320"/>
      </w:pPr>
      <w:rPr>
        <w:u w:val="none"/>
      </w:rPr>
      <w:start w:val="1"/>
      <w:suff w:val="tab"/>
    </w:lvl>
    <w:lvl w:ilvl="6">
      <w:isLgl w:val="true"/>
      <w:lvlJc w:val="left"/>
      <w:lvlText w:val="%7."/>
      <w:numFmt w:val="decimal"/>
      <w:pPr>
        <w:pBdr/>
        <w:tabs>
          <w:tab w:val="num" w:leader="none" w:pos="0"/>
        </w:tabs>
        <w:spacing/>
        <w:ind w:hanging="360" w:left="5040"/>
      </w:pPr>
      <w:rPr>
        <w:u w:val="none"/>
      </w:rPr>
      <w:start w:val="1"/>
      <w:suff w:val="tab"/>
    </w:lvl>
    <w:lvl w:ilvl="7">
      <w:isLgl w:val="true"/>
      <w:lvlJc w:val="left"/>
      <w:lvlText w:val="%8."/>
      <w:numFmt w:val="lowerLetter"/>
      <w:pPr>
        <w:pBdr/>
        <w:tabs>
          <w:tab w:val="num" w:leader="none" w:pos="0"/>
        </w:tabs>
        <w:spacing/>
        <w:ind w:hanging="360" w:left="5760"/>
      </w:pPr>
      <w:rPr>
        <w:u w:val="none"/>
      </w:rPr>
      <w:start w:val="1"/>
      <w:suff w:val="tab"/>
    </w:lvl>
    <w:lvl w:ilvl="8">
      <w:isLgl w:val="true"/>
      <w:lvlJc w:val="right"/>
      <w:lvlText w:val="%9."/>
      <w:numFmt w:val="lowerRoman"/>
      <w:pPr>
        <w:pBdr/>
        <w:tabs>
          <w:tab w:val="num" w:leader="none" w:pos="0"/>
        </w:tabs>
        <w:spacing/>
        <w:ind w:hanging="360" w:left="6480"/>
      </w:pPr>
      <w:rPr>
        <w:u w:val="none"/>
      </w:rPr>
      <w:start w:val="1"/>
      <w:suff w:val="tab"/>
    </w:lvl>
  </w:abstractNum>
  <w:abstractNum w:abstractNumId="2">
    <w:lvl w:ilvl="0">
      <w:isLgl w:val="true"/>
      <w:lvlJc w:val="left"/>
      <w:lvlText w:val="%1."/>
      <w:numFmt w:val="decimal"/>
      <w:pPr>
        <w:pBdr/>
        <w:tabs>
          <w:tab w:val="num" w:leader="none" w:pos="397"/>
        </w:tabs>
        <w:spacing/>
        <w:ind w:hanging="397" w:left="754"/>
      </w:pPr>
      <w:pStyle w:val="1680"/>
      <w:rPr/>
      <w:start w:val="1"/>
      <w:suff w:val="tab"/>
    </w:lvl>
    <w:lvl w:ilvl="1">
      <w:isLgl w:val="true"/>
      <w:lvlJc w:val="left"/>
      <w:lvlText w:val="%2."/>
      <w:numFmt w:val="decimal"/>
      <w:pPr>
        <w:pBdr/>
        <w:tabs>
          <w:tab w:val="num" w:leader="none" w:pos="794"/>
        </w:tabs>
        <w:spacing/>
        <w:ind w:hanging="397" w:left="1151"/>
      </w:pPr>
      <w:rPr/>
      <w:start w:val="1"/>
      <w:suff w:val="tab"/>
    </w:lvl>
    <w:lvl w:ilvl="2">
      <w:isLgl w:val="true"/>
      <w:lvlJc w:val="left"/>
      <w:lvlText w:val="%3."/>
      <w:numFmt w:val="decimal"/>
      <w:pPr>
        <w:pBdr/>
        <w:tabs>
          <w:tab w:val="num" w:leader="none" w:pos="1191"/>
        </w:tabs>
        <w:spacing/>
        <w:ind w:hanging="397" w:left="1548"/>
      </w:pPr>
      <w:rPr/>
      <w:start w:val="1"/>
      <w:suff w:val="tab"/>
    </w:lvl>
    <w:lvl w:ilvl="3">
      <w:isLgl w:val="true"/>
      <w:lvlJc w:val="left"/>
      <w:lvlText w:val="%4."/>
      <w:numFmt w:val="decimal"/>
      <w:pPr>
        <w:pBdr/>
        <w:tabs>
          <w:tab w:val="num" w:leader="none" w:pos="1588"/>
        </w:tabs>
        <w:spacing/>
        <w:ind w:hanging="397" w:left="1945"/>
      </w:pPr>
      <w:rPr/>
      <w:start w:val="1"/>
      <w:suff w:val="tab"/>
    </w:lvl>
    <w:lvl w:ilvl="4">
      <w:isLgl w:val="true"/>
      <w:lvlJc w:val="left"/>
      <w:lvlText w:val="%5."/>
      <w:numFmt w:val="decimal"/>
      <w:pPr>
        <w:pBdr/>
        <w:tabs>
          <w:tab w:val="num" w:leader="none" w:pos="1985"/>
        </w:tabs>
        <w:spacing/>
        <w:ind w:hanging="397" w:left="2342"/>
      </w:pPr>
      <w:rPr/>
      <w:start w:val="1"/>
      <w:suff w:val="tab"/>
    </w:lvl>
    <w:lvl w:ilvl="5">
      <w:isLgl w:val="true"/>
      <w:lvlJc w:val="left"/>
      <w:lvlText w:val="%6."/>
      <w:numFmt w:val="decimal"/>
      <w:pPr>
        <w:pBdr/>
        <w:tabs>
          <w:tab w:val="num" w:leader="none" w:pos="2381"/>
        </w:tabs>
        <w:spacing/>
        <w:ind w:hanging="397" w:left="2738"/>
      </w:pPr>
      <w:rPr/>
      <w:start w:val="1"/>
      <w:suff w:val="tab"/>
    </w:lvl>
    <w:lvl w:ilvl="6">
      <w:isLgl w:val="true"/>
      <w:lvlJc w:val="left"/>
      <w:lvlText w:val="%7."/>
      <w:numFmt w:val="decimal"/>
      <w:pPr>
        <w:pBdr/>
        <w:tabs>
          <w:tab w:val="num" w:leader="none" w:pos="2778"/>
        </w:tabs>
        <w:spacing/>
        <w:ind w:hanging="397" w:left="3135"/>
      </w:pPr>
      <w:rPr/>
      <w:start w:val="1"/>
      <w:suff w:val="tab"/>
    </w:lvl>
    <w:lvl w:ilvl="7">
      <w:isLgl w:val="true"/>
      <w:lvlJc w:val="left"/>
      <w:lvlText w:val="%8."/>
      <w:numFmt w:val="decimal"/>
      <w:pPr>
        <w:pBdr/>
        <w:tabs>
          <w:tab w:val="num" w:leader="none" w:pos="3175"/>
        </w:tabs>
        <w:spacing/>
        <w:ind w:hanging="397" w:left="3532"/>
      </w:pPr>
      <w:rPr/>
      <w:start w:val="1"/>
      <w:suff w:val="tab"/>
    </w:lvl>
    <w:lvl w:ilvl="8">
      <w:isLgl w:val="true"/>
      <w:lvlJc w:val="left"/>
      <w:lvlText w:val="%9."/>
      <w:numFmt w:val="decimal"/>
      <w:pPr>
        <w:pBdr/>
        <w:tabs>
          <w:tab w:val="num" w:leader="none" w:pos="3572"/>
        </w:tabs>
        <w:spacing/>
        <w:ind w:hanging="397" w:left="3929"/>
      </w:pPr>
      <w:rPr/>
      <w:start w:val="1"/>
      <w:suff w:val="tab"/>
    </w:lvl>
  </w:abstractNum>
  <w:abstractNum w:abstractNumId="3">
    <w:lvl w:ilvl="0">
      <w:isLgl w:val="true"/>
      <w:lvlJc w:val="left"/>
      <w:lvlText w:val=""/>
      <w:numFmt w:val="bullet"/>
      <w:pPr>
        <w:pBdr/>
        <w:tabs>
          <w:tab w:val="num" w:leader="none" w:pos="720"/>
        </w:tabs>
        <w:spacing/>
        <w:ind w:hanging="360" w:left="720"/>
      </w:pPr>
      <w:rPr>
        <w:rFonts w:hint="default" w:ascii="Symbol" w:hAnsi="Symbol" w:cs="Symbol"/>
      </w:rPr>
      <w:start w:val="1"/>
      <w:suff w:val="tab"/>
    </w:lvl>
    <w:lvl w:ilvl="1">
      <w:isLgl w:val="true"/>
      <w:lvlJc w:val="left"/>
      <w:lvlText w:val="◦"/>
      <w:numFmt w:val="bullet"/>
      <w:pPr>
        <w:pBdr/>
        <w:tabs>
          <w:tab w:val="num" w:leader="none" w:pos="1080"/>
        </w:tabs>
        <w:spacing/>
        <w:ind w:hanging="360" w:left="1080"/>
      </w:pPr>
      <w:rPr>
        <w:rFonts w:hint="default" w:ascii="OpenSymbol" w:hAnsi="OpenSymbol" w:cs="OpenSymbol"/>
      </w:rPr>
      <w:start w:val="1"/>
      <w:suff w:val="tab"/>
    </w:lvl>
    <w:lvl w:ilvl="2">
      <w:isLgl w:val="true"/>
      <w:lvlJc w:val="left"/>
      <w:lvlText w:val="▪"/>
      <w:numFmt w:val="bullet"/>
      <w:pPr>
        <w:pBdr/>
        <w:tabs>
          <w:tab w:val="num" w:leader="none" w:pos="1440"/>
        </w:tabs>
        <w:spacing/>
        <w:ind w:hanging="360" w:left="1440"/>
      </w:pPr>
      <w:rPr>
        <w:rFonts w:hint="default" w:ascii="OpenSymbol" w:hAnsi="OpenSymbol" w:cs="OpenSymbol"/>
      </w:rPr>
      <w:start w:val="1"/>
      <w:suff w:val="tab"/>
    </w:lvl>
    <w:lvl w:ilvl="3">
      <w:isLgl w:val="true"/>
      <w:lvlJc w:val="left"/>
      <w:lvlText w:val=""/>
      <w:numFmt w:val="bullet"/>
      <w:pPr>
        <w:pBdr/>
        <w:tabs>
          <w:tab w:val="num" w:leader="none" w:pos="1800"/>
        </w:tabs>
        <w:spacing/>
        <w:ind w:hanging="360" w:left="1800"/>
      </w:pPr>
      <w:rPr>
        <w:rFonts w:hint="default" w:ascii="Symbol" w:hAnsi="Symbol" w:cs="Symbol"/>
      </w:rPr>
      <w:start w:val="1"/>
      <w:suff w:val="tab"/>
    </w:lvl>
    <w:lvl w:ilvl="4">
      <w:isLgl w:val="true"/>
      <w:lvlJc w:val="left"/>
      <w:lvlText w:val="◦"/>
      <w:numFmt w:val="bullet"/>
      <w:pPr>
        <w:pBdr/>
        <w:tabs>
          <w:tab w:val="num" w:leader="none" w:pos="2160"/>
        </w:tabs>
        <w:spacing/>
        <w:ind w:hanging="360" w:left="2160"/>
      </w:pPr>
      <w:rPr>
        <w:rFonts w:hint="default" w:ascii="OpenSymbol" w:hAnsi="OpenSymbol" w:cs="OpenSymbol"/>
      </w:rPr>
      <w:start w:val="1"/>
      <w:suff w:val="tab"/>
    </w:lvl>
    <w:lvl w:ilvl="5">
      <w:isLgl w:val="true"/>
      <w:lvlJc w:val="left"/>
      <w:lvlText w:val="▪"/>
      <w:numFmt w:val="bullet"/>
      <w:pPr>
        <w:pBdr/>
        <w:tabs>
          <w:tab w:val="num" w:leader="none" w:pos="2520"/>
        </w:tabs>
        <w:spacing/>
        <w:ind w:hanging="360" w:left="2520"/>
      </w:pPr>
      <w:rPr>
        <w:rFonts w:hint="default" w:ascii="OpenSymbol" w:hAnsi="OpenSymbol" w:cs="OpenSymbol"/>
      </w:rPr>
      <w:start w:val="1"/>
      <w:suff w:val="tab"/>
    </w:lvl>
    <w:lvl w:ilvl="6">
      <w:isLgl w:val="true"/>
      <w:lvlJc w:val="left"/>
      <w:lvlText w:val=""/>
      <w:numFmt w:val="bullet"/>
      <w:pPr>
        <w:pBdr/>
        <w:tabs>
          <w:tab w:val="num" w:leader="none" w:pos="2880"/>
        </w:tabs>
        <w:spacing/>
        <w:ind w:hanging="360" w:left="2880"/>
      </w:pPr>
      <w:rPr>
        <w:rFonts w:hint="default" w:ascii="Symbol" w:hAnsi="Symbol" w:cs="Symbol"/>
      </w:rPr>
      <w:start w:val="1"/>
      <w:suff w:val="tab"/>
    </w:lvl>
    <w:lvl w:ilvl="7">
      <w:isLgl w:val="true"/>
      <w:lvlJc w:val="left"/>
      <w:lvlText w:val="◦"/>
      <w:numFmt w:val="bullet"/>
      <w:pPr>
        <w:pBdr/>
        <w:tabs>
          <w:tab w:val="num" w:leader="none" w:pos="3240"/>
        </w:tabs>
        <w:spacing/>
        <w:ind w:hanging="360" w:left="3240"/>
      </w:pPr>
      <w:rPr>
        <w:rFonts w:hint="default" w:ascii="OpenSymbol" w:hAnsi="OpenSymbol" w:cs="OpenSymbol"/>
      </w:rPr>
      <w:start w:val="1"/>
      <w:suff w:val="tab"/>
    </w:lvl>
    <w:lvl w:ilvl="8">
      <w:isLgl w:val="true"/>
      <w:lvlJc w:val="left"/>
      <w:lvlText w:val="▪"/>
      <w:numFmt w:val="bullet"/>
      <w:pPr>
        <w:pBdr/>
        <w:tabs>
          <w:tab w:val="num" w:leader="none" w:pos="3600"/>
        </w:tabs>
        <w:spacing/>
        <w:ind w:hanging="360" w:left="3600"/>
      </w:pPr>
      <w:rPr>
        <w:rFonts w:hint="default" w:ascii="OpenSymbol" w:hAnsi="OpenSymbol" w:cs="OpenSymbol"/>
      </w:rPr>
      <w:start w:val="1"/>
      <w:suff w:val="tab"/>
    </w:lvl>
  </w:abstractNum>
  <w:abstractNum w:abstractNumId="4">
    <w:lvl w:ilvl="0">
      <w:isLgl w:val="true"/>
      <w:lvlJc w:val="left"/>
      <w:lvlText w:val=""/>
      <w:numFmt w:val="bullet"/>
      <w:pPr>
        <w:pBdr/>
        <w:tabs>
          <w:tab w:val="num" w:leader="none" w:pos="720"/>
        </w:tabs>
        <w:spacing/>
        <w:ind w:hanging="360" w:left="720"/>
      </w:pPr>
      <w:rPr>
        <w:rFonts w:hint="default" w:ascii="Symbol" w:hAnsi="Symbol" w:cs="Symbol"/>
      </w:rPr>
      <w:start w:val="1"/>
      <w:suff w:val="tab"/>
    </w:lvl>
    <w:lvl w:ilvl="1">
      <w:isLgl w:val="true"/>
      <w:lvlJc w:val="left"/>
      <w:lvlText w:val="◦"/>
      <w:numFmt w:val="bullet"/>
      <w:pPr>
        <w:pBdr/>
        <w:tabs>
          <w:tab w:val="num" w:leader="none" w:pos="1080"/>
        </w:tabs>
        <w:spacing/>
        <w:ind w:hanging="360" w:left="1080"/>
      </w:pPr>
      <w:rPr>
        <w:rFonts w:hint="default" w:ascii="OpenSymbol" w:hAnsi="OpenSymbol" w:cs="OpenSymbol"/>
      </w:rPr>
      <w:start w:val="1"/>
      <w:suff w:val="tab"/>
    </w:lvl>
    <w:lvl w:ilvl="2">
      <w:isLgl w:val="true"/>
      <w:lvlJc w:val="left"/>
      <w:lvlText w:val="▪"/>
      <w:numFmt w:val="bullet"/>
      <w:pPr>
        <w:pBdr/>
        <w:tabs>
          <w:tab w:val="num" w:leader="none" w:pos="1440"/>
        </w:tabs>
        <w:spacing/>
        <w:ind w:hanging="360" w:left="1440"/>
      </w:pPr>
      <w:rPr>
        <w:rFonts w:hint="default" w:ascii="OpenSymbol" w:hAnsi="OpenSymbol" w:cs="OpenSymbol"/>
      </w:rPr>
      <w:start w:val="1"/>
      <w:suff w:val="tab"/>
    </w:lvl>
    <w:lvl w:ilvl="3">
      <w:isLgl w:val="true"/>
      <w:lvlJc w:val="left"/>
      <w:lvlText w:val=""/>
      <w:numFmt w:val="bullet"/>
      <w:pPr>
        <w:pBdr/>
        <w:tabs>
          <w:tab w:val="num" w:leader="none" w:pos="1800"/>
        </w:tabs>
        <w:spacing/>
        <w:ind w:hanging="360" w:left="1800"/>
      </w:pPr>
      <w:rPr>
        <w:rFonts w:hint="default" w:ascii="Symbol" w:hAnsi="Symbol" w:cs="Symbol"/>
      </w:rPr>
      <w:start w:val="1"/>
      <w:suff w:val="tab"/>
    </w:lvl>
    <w:lvl w:ilvl="4">
      <w:isLgl w:val="true"/>
      <w:lvlJc w:val="left"/>
      <w:lvlText w:val="◦"/>
      <w:numFmt w:val="bullet"/>
      <w:pPr>
        <w:pBdr/>
        <w:tabs>
          <w:tab w:val="num" w:leader="none" w:pos="2160"/>
        </w:tabs>
        <w:spacing/>
        <w:ind w:hanging="360" w:left="2160"/>
      </w:pPr>
      <w:rPr>
        <w:rFonts w:hint="default" w:ascii="OpenSymbol" w:hAnsi="OpenSymbol" w:cs="OpenSymbol"/>
      </w:rPr>
      <w:start w:val="1"/>
      <w:suff w:val="tab"/>
    </w:lvl>
    <w:lvl w:ilvl="5">
      <w:isLgl w:val="true"/>
      <w:lvlJc w:val="left"/>
      <w:lvlText w:val="▪"/>
      <w:numFmt w:val="bullet"/>
      <w:pPr>
        <w:pBdr/>
        <w:tabs>
          <w:tab w:val="num" w:leader="none" w:pos="2520"/>
        </w:tabs>
        <w:spacing/>
        <w:ind w:hanging="360" w:left="2520"/>
      </w:pPr>
      <w:rPr>
        <w:rFonts w:hint="default" w:ascii="OpenSymbol" w:hAnsi="OpenSymbol" w:cs="OpenSymbol"/>
      </w:rPr>
      <w:start w:val="1"/>
      <w:suff w:val="tab"/>
    </w:lvl>
    <w:lvl w:ilvl="6">
      <w:isLgl w:val="true"/>
      <w:lvlJc w:val="left"/>
      <w:lvlText w:val=""/>
      <w:numFmt w:val="bullet"/>
      <w:pPr>
        <w:pBdr/>
        <w:tabs>
          <w:tab w:val="num" w:leader="none" w:pos="2880"/>
        </w:tabs>
        <w:spacing/>
        <w:ind w:hanging="360" w:left="2880"/>
      </w:pPr>
      <w:rPr>
        <w:rFonts w:hint="default" w:ascii="Symbol" w:hAnsi="Symbol" w:cs="Symbol"/>
      </w:rPr>
      <w:start w:val="1"/>
      <w:suff w:val="tab"/>
    </w:lvl>
    <w:lvl w:ilvl="7">
      <w:isLgl w:val="true"/>
      <w:lvlJc w:val="left"/>
      <w:lvlText w:val="◦"/>
      <w:numFmt w:val="bullet"/>
      <w:pPr>
        <w:pBdr/>
        <w:tabs>
          <w:tab w:val="num" w:leader="none" w:pos="3240"/>
        </w:tabs>
        <w:spacing/>
        <w:ind w:hanging="360" w:left="3240"/>
      </w:pPr>
      <w:rPr>
        <w:rFonts w:hint="default" w:ascii="OpenSymbol" w:hAnsi="OpenSymbol" w:cs="OpenSymbol"/>
      </w:rPr>
      <w:start w:val="1"/>
      <w:suff w:val="tab"/>
    </w:lvl>
    <w:lvl w:ilvl="8">
      <w:isLgl w:val="true"/>
      <w:lvlJc w:val="left"/>
      <w:lvlText w:val="▪"/>
      <w:numFmt w:val="bullet"/>
      <w:pPr>
        <w:pBdr/>
        <w:tabs>
          <w:tab w:val="num" w:leader="none" w:pos="3600"/>
        </w:tabs>
        <w:spacing/>
        <w:ind w:hanging="360" w:left="3600"/>
      </w:pPr>
      <w:rPr>
        <w:rFonts w:hint="default" w:ascii="OpenSymbol" w:hAnsi="OpenSymbol" w:cs="OpenSymbol"/>
      </w:rPr>
      <w:start w:val="1"/>
      <w:suff w:val="tab"/>
    </w:lvl>
  </w:abstractNum>
  <w:abstractNum w:abstractNumId="5">
    <w:lvl w:ilvl="0">
      <w:isLgl w:val="true"/>
      <w:lvlJc w:val="left"/>
      <w:lvlText w:val="%1. "/>
      <w:numFmt w:val="decimal"/>
      <w:pPr>
        <w:pBdr/>
        <w:tabs>
          <w:tab w:val="num" w:leader="none" w:pos="0"/>
        </w:tabs>
        <w:spacing/>
        <w:ind w:firstLine="0" w:left="0"/>
      </w:pPr>
      <w:pStyle w:val="1672"/>
      <w:rPr/>
      <w:start w:val="1"/>
      <w:suff w:val="nothing"/>
    </w:lvl>
    <w:lvl w:ilvl="1">
      <w:isLgl w:val="true"/>
      <w:lvlJc w:val="left"/>
      <w:lvlText w:val="%2. "/>
      <w:numFmt w:val="decimal"/>
      <w:pPr>
        <w:pBdr/>
        <w:tabs>
          <w:tab w:val="num" w:leader="none" w:pos="0"/>
        </w:tabs>
        <w:spacing/>
        <w:ind w:firstLine="0" w:left="0"/>
      </w:pPr>
      <w:rPr/>
      <w:start w:val="1"/>
      <w:suff w:val="nothing"/>
    </w:lvl>
    <w:lvl w:ilvl="2">
      <w:isLgl w:val="true"/>
      <w:lvlJc w:val="left"/>
      <w:lvlText w:val="%3. "/>
      <w:numFmt w:val="decimal"/>
      <w:pPr>
        <w:pBdr/>
        <w:tabs>
          <w:tab w:val="num" w:leader="none" w:pos="0"/>
        </w:tabs>
        <w:spacing/>
        <w:ind w:firstLine="0" w:left="0"/>
      </w:pPr>
      <w:rPr/>
      <w:start w:val="1"/>
      <w:suff w:val="nothing"/>
    </w:lvl>
    <w:lvl w:ilvl="3">
      <w:isLgl w:val="true"/>
      <w:lvlJc w:val="left"/>
      <w:lvlText w:val="%4. "/>
      <w:numFmt w:val="decimal"/>
      <w:pPr>
        <w:pBdr/>
        <w:tabs>
          <w:tab w:val="num" w:leader="none" w:pos="0"/>
        </w:tabs>
        <w:spacing/>
        <w:ind w:firstLine="0" w:left="0"/>
      </w:pPr>
      <w:rPr/>
      <w:start w:val="1"/>
      <w:suff w:val="nothing"/>
    </w:lvl>
    <w:lvl w:ilvl="4">
      <w:isLgl w:val="true"/>
      <w:lvlJc w:val="left"/>
      <w:lvlText w:val="%5. "/>
      <w:numFmt w:val="decimal"/>
      <w:pPr>
        <w:pBdr/>
        <w:tabs>
          <w:tab w:val="num" w:leader="none" w:pos="0"/>
        </w:tabs>
        <w:spacing/>
        <w:ind w:firstLine="0" w:left="0"/>
      </w:pPr>
      <w:rPr/>
      <w:start w:val="1"/>
      <w:suff w:val="nothing"/>
    </w:lvl>
    <w:lvl w:ilvl="5">
      <w:isLgl w:val="true"/>
      <w:lvlJc w:val="left"/>
      <w:lvlText w:val="%6. "/>
      <w:numFmt w:val="decimal"/>
      <w:pPr>
        <w:pBdr/>
        <w:tabs>
          <w:tab w:val="num" w:leader="none" w:pos="0"/>
        </w:tabs>
        <w:spacing/>
        <w:ind w:firstLine="0" w:left="0"/>
      </w:pPr>
      <w:rPr/>
      <w:start w:val="1"/>
      <w:suff w:val="nothing"/>
    </w:lvl>
    <w:lvl w:ilvl="6">
      <w:isLgl w:val="true"/>
      <w:lvlJc w:val="left"/>
      <w:lvlText w:val="%7. "/>
      <w:numFmt w:val="decimal"/>
      <w:pPr>
        <w:pBdr/>
        <w:tabs>
          <w:tab w:val="num" w:leader="none" w:pos="0"/>
        </w:tabs>
        <w:spacing/>
        <w:ind w:firstLine="0" w:left="0"/>
      </w:pPr>
      <w:rPr/>
      <w:start w:val="1"/>
      <w:suff w:val="nothing"/>
    </w:lvl>
    <w:lvl w:ilvl="7">
      <w:isLgl w:val="true"/>
      <w:lvlJc w:val="left"/>
      <w:lvlText w:val="%8. "/>
      <w:numFmt w:val="decimal"/>
      <w:pPr>
        <w:pBdr/>
        <w:tabs>
          <w:tab w:val="num" w:leader="none" w:pos="0"/>
        </w:tabs>
        <w:spacing/>
        <w:ind w:firstLine="0" w:left="0"/>
      </w:pPr>
      <w:rPr/>
      <w:start w:val="1"/>
      <w:suff w:val="nothing"/>
    </w:lvl>
    <w:lvl w:ilvl="8">
      <w:isLgl w:val="true"/>
      <w:lvlJc w:val="left"/>
      <w:lvlText w:val="%9. "/>
      <w:numFmt w:val="decimal"/>
      <w:pPr>
        <w:pBdr/>
        <w:tabs>
          <w:tab w:val="num" w:leader="none" w:pos="0"/>
        </w:tabs>
        <w:spacing/>
        <w:ind w:firstLine="0" w:left="0"/>
      </w:pPr>
      <w:rPr/>
      <w:start w:val="1"/>
      <w:suff w:val="nothing"/>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autoHyphenation w:val="true"/>
  <w:hyphenationZone w:val="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Liberation Serif" w:hAnsi="Liberation Serif" w:eastAsia="Tahoma" w:cs="FreeSans"/>
        <w:sz w:val="24"/>
        <w:szCs w:val="24"/>
        <w:lang w:val="en-GB" w:eastAsia="zh-CN" w:bidi="hi-I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149" w:default="1">
    <w:name w:val="No List"/>
    <w:uiPriority w:val="99"/>
    <w:semiHidden/>
    <w:unhideWhenUsed/>
    <w:pPr>
      <w:pBdr/>
      <w:spacing/>
      <w:ind/>
    </w:pPr>
  </w:style>
  <w:style w:type="paragraph" w:styleId="1622" w:default="1">
    <w:name w:val="Normal"/>
    <w:qFormat/>
    <w:pPr>
      <w:widowControl w:val="true"/>
      <w:pBdr/>
      <w:bidi w:val="false"/>
      <w:spacing w:after="0" w:before="0"/>
      <w:ind/>
      <w:jc w:val="left"/>
    </w:pPr>
    <w:rPr>
      <w:rFonts w:ascii="Liberation Serif" w:hAnsi="Liberation Serif" w:eastAsia="Tahoma" w:cs="FreeSans"/>
      <w:color w:val="auto"/>
      <w:sz w:val="24"/>
      <w:szCs w:val="24"/>
      <w:lang w:val="en-GB" w:eastAsia="zh-CN" w:bidi="hi-IN"/>
    </w:rPr>
  </w:style>
  <w:style w:type="paragraph" w:styleId="1623">
    <w:name w:val="Heading 1"/>
    <w:basedOn w:val="1622"/>
    <w:next w:val="1622"/>
    <w:link w:val="1632"/>
    <w:uiPriority w:val="9"/>
    <w:qFormat/>
    <w:pPr>
      <w:keepNext w:val="true"/>
      <w:keepLines w:val="true"/>
      <w:numPr>
        <w:ilvl w:val="0"/>
        <w:numId w:val="1"/>
      </w:numPr>
      <w:pBdr/>
      <w:spacing w:after="80" w:before="360"/>
      <w:ind/>
      <w:outlineLvl w:val="0"/>
    </w:pPr>
    <w:rPr>
      <w:rFonts w:ascii="Arial" w:hAnsi="Arial" w:eastAsia="Arial" w:cs="Arial"/>
      <w:color w:val="0f4761" w:themeColor="accent1" w:themeShade="BF"/>
      <w:sz w:val="32"/>
      <w:szCs w:val="40"/>
    </w:rPr>
  </w:style>
  <w:style w:type="paragraph" w:styleId="1624">
    <w:name w:val="Heading 2"/>
    <w:basedOn w:val="1622"/>
    <w:next w:val="1622"/>
    <w:link w:val="1633"/>
    <w:uiPriority w:val="9"/>
    <w:unhideWhenUsed/>
    <w:qFormat/>
    <w:pPr>
      <w:keepNext w:val="true"/>
      <w:keepLines w:val="true"/>
      <w:numPr>
        <w:ilvl w:val="1"/>
        <w:numId w:val="1"/>
      </w:numPr>
      <w:pBdr/>
      <w:spacing w:after="80" w:before="160"/>
      <w:ind/>
      <w:outlineLvl w:val="1"/>
    </w:pPr>
    <w:rPr>
      <w:rFonts w:ascii="Arial" w:hAnsi="Arial" w:eastAsia="Arial" w:cs="Arial"/>
      <w:color w:val="0f4761" w:themeColor="accent1" w:themeShade="BF"/>
      <w:sz w:val="28"/>
      <w:szCs w:val="32"/>
    </w:rPr>
  </w:style>
  <w:style w:type="paragraph" w:styleId="1625">
    <w:name w:val="Heading 3"/>
    <w:basedOn w:val="1622"/>
    <w:next w:val="1622"/>
    <w:link w:val="1634"/>
    <w:uiPriority w:val="9"/>
    <w:unhideWhenUsed/>
    <w:qFormat/>
    <w:pPr>
      <w:keepNext w:val="true"/>
      <w:keepLines w:val="true"/>
      <w:numPr>
        <w:ilvl w:val="2"/>
        <w:numId w:val="1"/>
      </w:numPr>
      <w:pBdr/>
      <w:spacing w:after="80" w:before="160"/>
      <w:ind/>
      <w:outlineLvl w:val="2"/>
    </w:pPr>
    <w:rPr>
      <w:rFonts w:ascii="Arial" w:hAnsi="Arial" w:eastAsia="Arial" w:cs="Arial"/>
      <w:color w:val="0f4761" w:themeColor="accent1" w:themeShade="BF"/>
      <w:sz w:val="28"/>
      <w:szCs w:val="28"/>
    </w:rPr>
  </w:style>
  <w:style w:type="paragraph" w:styleId="1626">
    <w:name w:val="Heading 4"/>
    <w:basedOn w:val="1622"/>
    <w:next w:val="1622"/>
    <w:link w:val="1635"/>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627">
    <w:name w:val="Heading 5"/>
    <w:basedOn w:val="1622"/>
    <w:next w:val="1622"/>
    <w:link w:val="1636"/>
    <w:qFormat/>
    <w:pPr>
      <w:keepNext w:val="true"/>
      <w:keepLines w:val="true"/>
      <w:numPr>
        <w:ilvl w:val="0"/>
        <w:numId w:val="0"/>
      </w:numPr>
      <w:pBdr/>
      <w:spacing w:after="40" w:before="80"/>
      <w:ind/>
      <w:outlineLvl w:val="4"/>
    </w:pPr>
    <w:rPr>
      <w:rFonts w:ascii="Arial" w:hAnsi="Arial" w:eastAsia="Arial" w:cs="Arial"/>
      <w:color w:val="0f4761" w:themeColor="accent1" w:themeShade="BF"/>
    </w:rPr>
  </w:style>
  <w:style w:type="paragraph" w:styleId="1628">
    <w:name w:val="Heading 6"/>
    <w:basedOn w:val="1622"/>
    <w:next w:val="1622"/>
    <w:link w:val="1637"/>
    <w:qFormat/>
    <w:pPr>
      <w:keepNext w:val="true"/>
      <w:keepLines w:val="true"/>
      <w:numPr>
        <w:ilvl w:val="0"/>
        <w:numId w:val="0"/>
      </w:numPr>
      <w:pBdr/>
      <w:spacing w:after="0" w:before="40"/>
      <w:ind/>
      <w:outlineLvl w:val="5"/>
    </w:pPr>
    <w:rPr>
      <w:rFonts w:ascii="Arial" w:hAnsi="Arial" w:eastAsia="Arial" w:cs="Arial"/>
      <w:i/>
      <w:iCs/>
      <w:color w:val="595959" w:themeColor="dark1" w:themeTint="A6"/>
    </w:rPr>
  </w:style>
  <w:style w:type="paragraph" w:styleId="1629">
    <w:name w:val="Heading 7"/>
    <w:basedOn w:val="1622"/>
    <w:next w:val="1622"/>
    <w:link w:val="1638"/>
    <w:qFormat/>
    <w:pPr>
      <w:keepNext w:val="true"/>
      <w:keepLines w:val="true"/>
      <w:numPr>
        <w:ilvl w:val="0"/>
        <w:numId w:val="0"/>
      </w:numPr>
      <w:pBdr/>
      <w:spacing w:after="0" w:before="40"/>
      <w:ind/>
      <w:outlineLvl w:val="6"/>
    </w:pPr>
    <w:rPr>
      <w:rFonts w:ascii="Arial" w:hAnsi="Arial" w:eastAsia="Arial" w:cs="Arial"/>
      <w:color w:val="595959" w:themeColor="dark1" w:themeTint="A6"/>
    </w:rPr>
  </w:style>
  <w:style w:type="paragraph" w:styleId="1630">
    <w:name w:val="Heading 8"/>
    <w:basedOn w:val="1622"/>
    <w:next w:val="1622"/>
    <w:link w:val="1639"/>
    <w:qFormat/>
    <w:pPr>
      <w:keepNext w:val="true"/>
      <w:keepLines w:val="true"/>
      <w:numPr>
        <w:ilvl w:val="0"/>
        <w:numId w:val="0"/>
      </w:numPr>
      <w:pBdr/>
      <w:spacing w:after="0" w:before="0"/>
      <w:ind/>
      <w:outlineLvl w:val="7"/>
    </w:pPr>
    <w:rPr>
      <w:rFonts w:ascii="Arial" w:hAnsi="Arial" w:eastAsia="Arial" w:cs="Arial"/>
      <w:i/>
      <w:iCs/>
      <w:color w:val="272727" w:themeColor="dark1" w:themeTint="D8"/>
    </w:rPr>
  </w:style>
  <w:style w:type="paragraph" w:styleId="1631">
    <w:name w:val="Heading 9"/>
    <w:basedOn w:val="1622"/>
    <w:next w:val="1622"/>
    <w:link w:val="1640"/>
    <w:qFormat/>
    <w:pPr>
      <w:keepNext w:val="true"/>
      <w:keepLines w:val="true"/>
      <w:numPr>
        <w:ilvl w:val="0"/>
        <w:numId w:val="0"/>
      </w:numPr>
      <w:pBdr/>
      <w:spacing w:after="0" w:before="0"/>
      <w:ind/>
      <w:outlineLvl w:val="8"/>
    </w:pPr>
    <w:rPr>
      <w:rFonts w:ascii="Arial" w:hAnsi="Arial" w:eastAsia="Arial" w:cs="Arial"/>
      <w:i/>
      <w:iCs/>
      <w:color w:val="272727" w:themeColor="dark1" w:themeTint="D8"/>
    </w:rPr>
  </w:style>
  <w:style w:type="character" w:styleId="1632">
    <w:name w:val="Heading 1 Char"/>
    <w:basedOn w:val="1658"/>
    <w:qFormat/>
    <w:pPr>
      <w:pBdr/>
      <w:spacing/>
      <w:ind/>
    </w:pPr>
    <w:rPr>
      <w:rFonts w:ascii="Arial" w:hAnsi="Arial" w:eastAsia="Arial" w:cs="Arial"/>
      <w:color w:val="0f4761" w:themeColor="accent1" w:themeShade="BF"/>
      <w:sz w:val="40"/>
      <w:szCs w:val="40"/>
    </w:rPr>
  </w:style>
  <w:style w:type="character" w:styleId="1633">
    <w:name w:val="Heading 2 Char"/>
    <w:basedOn w:val="1658"/>
    <w:qFormat/>
    <w:pPr>
      <w:pBdr/>
      <w:spacing/>
      <w:ind/>
    </w:pPr>
    <w:rPr>
      <w:rFonts w:ascii="Arial" w:hAnsi="Arial" w:eastAsia="Arial" w:cs="Arial"/>
      <w:color w:val="0f4761" w:themeColor="accent1" w:themeShade="BF"/>
      <w:sz w:val="32"/>
      <w:szCs w:val="32"/>
    </w:rPr>
  </w:style>
  <w:style w:type="character" w:styleId="1634">
    <w:name w:val="Heading 3 Char"/>
    <w:basedOn w:val="1658"/>
    <w:qFormat/>
    <w:pPr>
      <w:pBdr/>
      <w:spacing/>
      <w:ind/>
    </w:pPr>
    <w:rPr>
      <w:rFonts w:ascii="Arial" w:hAnsi="Arial" w:eastAsia="Arial" w:cs="Arial"/>
      <w:color w:val="0f4761" w:themeColor="accent1" w:themeShade="BF"/>
      <w:sz w:val="28"/>
      <w:szCs w:val="28"/>
    </w:rPr>
  </w:style>
  <w:style w:type="character" w:styleId="1635">
    <w:name w:val="Heading 4 Char"/>
    <w:basedOn w:val="1658"/>
    <w:qFormat/>
    <w:pPr>
      <w:pBdr/>
      <w:spacing/>
      <w:ind/>
    </w:pPr>
    <w:rPr>
      <w:rFonts w:ascii="Arial" w:hAnsi="Arial" w:eastAsia="Arial" w:cs="Arial"/>
      <w:i/>
      <w:iCs/>
      <w:color w:val="0f4761" w:themeColor="accent1" w:themeShade="BF"/>
    </w:rPr>
  </w:style>
  <w:style w:type="character" w:styleId="1636">
    <w:name w:val="Heading 5 Char"/>
    <w:basedOn w:val="1658"/>
    <w:qFormat/>
    <w:pPr>
      <w:pBdr/>
      <w:spacing/>
      <w:ind/>
    </w:pPr>
    <w:rPr>
      <w:rFonts w:ascii="Arial" w:hAnsi="Arial" w:eastAsia="Arial" w:cs="Arial"/>
      <w:color w:val="0f4761" w:themeColor="accent1" w:themeShade="BF"/>
    </w:rPr>
  </w:style>
  <w:style w:type="character" w:styleId="1637">
    <w:name w:val="Heading 6 Char"/>
    <w:basedOn w:val="1658"/>
    <w:qFormat/>
    <w:pPr>
      <w:pBdr/>
      <w:spacing/>
      <w:ind/>
    </w:pPr>
    <w:rPr>
      <w:rFonts w:ascii="Arial" w:hAnsi="Arial" w:eastAsia="Arial" w:cs="Arial"/>
      <w:i/>
      <w:iCs/>
      <w:color w:val="595959" w:themeColor="dark1" w:themeTint="A6"/>
    </w:rPr>
  </w:style>
  <w:style w:type="character" w:styleId="1638">
    <w:name w:val="Heading 7 Char"/>
    <w:basedOn w:val="1658"/>
    <w:qFormat/>
    <w:pPr>
      <w:pBdr/>
      <w:spacing/>
      <w:ind/>
    </w:pPr>
    <w:rPr>
      <w:rFonts w:ascii="Arial" w:hAnsi="Arial" w:eastAsia="Arial" w:cs="Arial"/>
      <w:color w:val="595959" w:themeColor="dark1" w:themeTint="A6"/>
    </w:rPr>
  </w:style>
  <w:style w:type="character" w:styleId="1639">
    <w:name w:val="Heading 8 Char"/>
    <w:basedOn w:val="1658"/>
    <w:qFormat/>
    <w:pPr>
      <w:pBdr/>
      <w:spacing/>
      <w:ind/>
    </w:pPr>
    <w:rPr>
      <w:rFonts w:ascii="Arial" w:hAnsi="Arial" w:eastAsia="Arial" w:cs="Arial"/>
      <w:i/>
      <w:iCs/>
      <w:color w:val="272727" w:themeColor="dark1" w:themeTint="D8"/>
    </w:rPr>
  </w:style>
  <w:style w:type="character" w:styleId="1640">
    <w:name w:val="Heading 9 Char"/>
    <w:basedOn w:val="1658"/>
    <w:qFormat/>
    <w:pPr>
      <w:pBdr/>
      <w:spacing/>
      <w:ind/>
    </w:pPr>
    <w:rPr>
      <w:rFonts w:ascii="Arial" w:hAnsi="Arial" w:eastAsia="Arial" w:cs="Arial"/>
      <w:i/>
      <w:iCs/>
      <w:color w:val="272727" w:themeColor="dark1" w:themeTint="D8"/>
    </w:rPr>
  </w:style>
  <w:style w:type="character" w:styleId="1641">
    <w:name w:val="Title Char"/>
    <w:basedOn w:val="1658"/>
    <w:qFormat/>
    <w:pPr>
      <w:pBdr/>
      <w:spacing/>
      <w:ind/>
    </w:pPr>
    <w:rPr>
      <w:rFonts w:ascii="Arial" w:hAnsi="Arial" w:eastAsia="Arial" w:cs="Arial"/>
      <w:spacing w:val="-10"/>
      <w:sz w:val="56"/>
      <w:szCs w:val="56"/>
    </w:rPr>
  </w:style>
  <w:style w:type="character" w:styleId="1642">
    <w:name w:val="Subtitle Char"/>
    <w:basedOn w:val="1658"/>
    <w:qFormat/>
    <w:pPr>
      <w:pBdr/>
      <w:spacing/>
      <w:ind/>
    </w:pPr>
    <w:rPr>
      <w:color w:val="595959" w:themeColor="dark1" w:themeTint="A6"/>
      <w:spacing w:val="15"/>
      <w:sz w:val="28"/>
      <w:szCs w:val="28"/>
    </w:rPr>
  </w:style>
  <w:style w:type="character" w:styleId="1643">
    <w:name w:val="Quote Char"/>
    <w:basedOn w:val="1658"/>
    <w:link w:val="1682"/>
    <w:qFormat/>
    <w:pPr>
      <w:pBdr/>
      <w:spacing/>
      <w:ind/>
    </w:pPr>
    <w:rPr>
      <w:i/>
      <w:iCs/>
      <w:color w:val="404040" w:themeColor="dark1" w:themeTint="BF"/>
    </w:rPr>
  </w:style>
  <w:style w:type="character" w:styleId="1644">
    <w:name w:val="Intense Emphasis"/>
    <w:basedOn w:val="1658"/>
    <w:qFormat/>
    <w:pPr>
      <w:pBdr/>
      <w:spacing/>
      <w:ind/>
    </w:pPr>
    <w:rPr>
      <w:i/>
      <w:iCs/>
      <w:color w:val="0f4761" w:themeColor="accent1" w:themeShade="BF"/>
    </w:rPr>
  </w:style>
  <w:style w:type="character" w:styleId="1645">
    <w:name w:val="Intense Quote Char"/>
    <w:basedOn w:val="1658"/>
    <w:link w:val="1684"/>
    <w:qFormat/>
    <w:pPr>
      <w:pBdr/>
      <w:spacing/>
      <w:ind/>
    </w:pPr>
    <w:rPr>
      <w:i/>
      <w:iCs/>
      <w:color w:val="0f4761" w:themeColor="accent1" w:themeShade="BF"/>
    </w:rPr>
  </w:style>
  <w:style w:type="character" w:styleId="1646">
    <w:name w:val="Intense Reference"/>
    <w:basedOn w:val="1658"/>
    <w:qFormat/>
    <w:pPr>
      <w:pBdr/>
      <w:spacing/>
      <w:ind/>
    </w:pPr>
    <w:rPr>
      <w:b/>
      <w:bCs/>
      <w:smallCaps/>
      <w:color w:val="0f4761" w:themeColor="accent1" w:themeShade="BF"/>
      <w:spacing w:val="5"/>
    </w:rPr>
  </w:style>
  <w:style w:type="character" w:styleId="1647">
    <w:name w:val="Subtle Emphasis"/>
    <w:basedOn w:val="1658"/>
    <w:qFormat/>
    <w:pPr>
      <w:pBdr/>
      <w:spacing/>
      <w:ind/>
    </w:pPr>
    <w:rPr>
      <w:i/>
      <w:iCs/>
      <w:color w:val="404040" w:themeColor="dark1" w:themeTint="BF"/>
    </w:rPr>
  </w:style>
  <w:style w:type="character" w:styleId="1648">
    <w:name w:val="Emphasis"/>
    <w:basedOn w:val="1658"/>
    <w:qFormat/>
    <w:pPr>
      <w:pBdr/>
      <w:spacing/>
      <w:ind/>
    </w:pPr>
    <w:rPr>
      <w:i/>
      <w:iCs/>
    </w:rPr>
  </w:style>
  <w:style w:type="character" w:styleId="1649">
    <w:name w:val="Strong"/>
    <w:basedOn w:val="1658"/>
    <w:qFormat/>
    <w:pPr>
      <w:pBdr/>
      <w:spacing/>
      <w:ind/>
    </w:pPr>
    <w:rPr>
      <w:b/>
      <w:bCs/>
    </w:rPr>
  </w:style>
  <w:style w:type="character" w:styleId="1650">
    <w:name w:val="Subtle Reference"/>
    <w:basedOn w:val="1658"/>
    <w:qFormat/>
    <w:pPr>
      <w:pBdr/>
      <w:spacing/>
      <w:ind/>
    </w:pPr>
    <w:rPr>
      <w:smallCaps/>
      <w:color w:val="5a5a5a" w:themeColor="dark1" w:themeTint="A5"/>
    </w:rPr>
  </w:style>
  <w:style w:type="character" w:styleId="1651">
    <w:name w:val="Book Title"/>
    <w:basedOn w:val="1658"/>
    <w:qFormat/>
    <w:pPr>
      <w:pBdr/>
      <w:spacing/>
      <w:ind/>
    </w:pPr>
    <w:rPr>
      <w:b/>
      <w:bCs/>
      <w:i/>
      <w:iCs/>
      <w:spacing w:val="5"/>
    </w:rPr>
  </w:style>
  <w:style w:type="character" w:styleId="1652">
    <w:name w:val="Header Char"/>
    <w:basedOn w:val="1658"/>
    <w:qFormat/>
    <w:pPr>
      <w:pBdr/>
      <w:spacing/>
      <w:ind/>
    </w:pPr>
  </w:style>
  <w:style w:type="character" w:styleId="1653">
    <w:name w:val="Footer Char"/>
    <w:basedOn w:val="1658"/>
    <w:qFormat/>
    <w:pPr>
      <w:pBdr/>
      <w:spacing/>
      <w:ind/>
    </w:pPr>
  </w:style>
  <w:style w:type="character" w:styleId="1654">
    <w:name w:val="Footnote Text Char"/>
    <w:basedOn w:val="1658"/>
    <w:qFormat/>
    <w:pPr>
      <w:pBdr/>
      <w:spacing/>
      <w:ind/>
    </w:pPr>
    <w:rPr>
      <w:sz w:val="20"/>
      <w:szCs w:val="20"/>
    </w:rPr>
  </w:style>
  <w:style w:type="character" w:styleId="1655">
    <w:name w:val="Endnote Text Char"/>
    <w:basedOn w:val="1658"/>
    <w:qFormat/>
    <w:pPr>
      <w:pBdr/>
      <w:spacing/>
      <w:ind/>
    </w:pPr>
    <w:rPr>
      <w:sz w:val="20"/>
      <w:szCs w:val="20"/>
    </w:rPr>
  </w:style>
  <w:style w:type="character" w:styleId="1656">
    <w:name w:val="Placeholder Text"/>
    <w:basedOn w:val="1658"/>
    <w:qFormat/>
    <w:pPr>
      <w:pBdr/>
      <w:spacing/>
      <w:ind/>
    </w:pPr>
    <w:rPr>
      <w:color w:val="666666"/>
    </w:rPr>
  </w:style>
  <w:style w:type="character" w:styleId="1657">
    <w:name w:val="Hyperlink"/>
    <w:pPr>
      <w:pBdr/>
      <w:spacing/>
      <w:ind/>
    </w:pPr>
    <w:rPr>
      <w:color w:val="000080"/>
      <w:u w:val="single"/>
    </w:rPr>
  </w:style>
  <w:style w:type="character" w:styleId="1658" w:default="1">
    <w:name w:val="Default Paragraph Font"/>
    <w:qFormat/>
    <w:pPr>
      <w:pBdr/>
      <w:spacing/>
      <w:ind/>
    </w:pPr>
  </w:style>
  <w:style w:type="character" w:styleId="1659">
    <w:name w:val="FollowedHyperlink"/>
    <w:basedOn w:val="1658"/>
    <w:pPr>
      <w:pBdr/>
      <w:spacing/>
      <w:ind/>
    </w:pPr>
    <w:rPr>
      <w:color w:val="954f72" w:themeColor="followedHyperlink"/>
      <w:u w:val="single"/>
    </w:rPr>
  </w:style>
  <w:style w:type="character" w:styleId="1660">
    <w:name w:val="Verzeichnissprung (user)"/>
    <w:qFormat/>
    <w:pPr>
      <w:pBdr/>
      <w:spacing/>
      <w:ind/>
    </w:pPr>
  </w:style>
  <w:style w:type="character" w:styleId="1661">
    <w:name w:val="Fußnotenzeichen (user)"/>
    <w:qFormat/>
    <w:pPr>
      <w:pBdr/>
      <w:spacing/>
      <w:ind/>
    </w:pPr>
    <w:rPr>
      <w:vertAlign w:val="superscript"/>
    </w:rPr>
  </w:style>
  <w:style w:type="character" w:styleId="1662">
    <w:name w:val="Fußnotenzeichen"/>
    <w:qFormat/>
    <w:pPr>
      <w:pBdr/>
      <w:spacing/>
      <w:ind/>
    </w:pPr>
    <w:rPr>
      <w:vertAlign w:val="superscript"/>
    </w:rPr>
  </w:style>
  <w:style w:type="character" w:styleId="1663">
    <w:name w:val="footnote reference"/>
    <w:pPr>
      <w:pBdr/>
      <w:spacing/>
      <w:ind/>
    </w:pPr>
    <w:rPr>
      <w:vertAlign w:val="superscript"/>
    </w:rPr>
  </w:style>
  <w:style w:type="character" w:styleId="1664">
    <w:name w:val="Endnotenzeichen"/>
    <w:qFormat/>
    <w:pPr>
      <w:pBdr/>
      <w:spacing/>
      <w:ind/>
    </w:pPr>
    <w:rPr>
      <w:vertAlign w:val="superscript"/>
    </w:rPr>
  </w:style>
  <w:style w:type="character" w:styleId="1665">
    <w:name w:val="Endnotenzeichen (user)"/>
    <w:qFormat/>
    <w:pPr>
      <w:pBdr/>
      <w:spacing/>
      <w:ind/>
    </w:pPr>
    <w:rPr>
      <w:vertAlign w:val="superscript"/>
    </w:rPr>
  </w:style>
  <w:style w:type="character" w:styleId="1666">
    <w:name w:val="endnote reference"/>
    <w:pPr>
      <w:pBdr/>
      <w:spacing/>
      <w:ind/>
    </w:pPr>
    <w:rPr>
      <w:vertAlign w:val="superscript"/>
    </w:rPr>
  </w:style>
  <w:style w:type="character" w:styleId="1667">
    <w:name w:val="line number"/>
    <w:pPr>
      <w:pBdr/>
      <w:spacing/>
      <w:ind/>
    </w:pPr>
  </w:style>
  <w:style w:type="character" w:styleId="1668">
    <w:name w:val="Nummerierungszeichen"/>
    <w:qFormat/>
    <w:pPr>
      <w:pBdr/>
      <w:spacing/>
      <w:ind/>
    </w:pPr>
  </w:style>
  <w:style w:type="character" w:styleId="1669">
    <w:name w:val="Aufzählungszeichen (user)"/>
    <w:qFormat/>
    <w:pPr>
      <w:pBdr/>
      <w:spacing/>
      <w:ind/>
    </w:pPr>
    <w:rPr>
      <w:rFonts w:ascii="OpenSymbol" w:hAnsi="OpenSymbol" w:eastAsia="OpenSymbol" w:cs="OpenSymbol"/>
    </w:rPr>
  </w:style>
  <w:style w:type="character" w:styleId="1670">
    <w:name w:val="Nummerierungszeichen (user)"/>
    <w:qFormat/>
    <w:pPr>
      <w:pBdr/>
      <w:spacing/>
      <w:ind/>
    </w:pPr>
  </w:style>
  <w:style w:type="paragraph" w:styleId="1671">
    <w:name w:val="Überschrift"/>
    <w:basedOn w:val="1622"/>
    <w:next w:val="1680"/>
    <w:qFormat/>
    <w:pPr>
      <w:keepNext w:val="true"/>
      <w:pBdr/>
      <w:spacing w:after="120" w:before="240"/>
      <w:ind/>
    </w:pPr>
    <w:rPr>
      <w:rFonts w:ascii="Liberation Sans" w:hAnsi="Liberation Sans" w:eastAsia="Tahoma" w:cs="FreeSans"/>
      <w:sz w:val="28"/>
      <w:szCs w:val="28"/>
    </w:rPr>
  </w:style>
  <w:style w:type="paragraph" w:styleId="1672">
    <w:name w:val="Body Text"/>
    <w:basedOn w:val="1622"/>
    <w:qFormat/>
    <w:pPr>
      <w:numPr>
        <w:ilvl w:val="0"/>
        <w:numId w:val="6"/>
      </w:numPr>
      <w:pBdr/>
      <w:bidi w:val="false"/>
      <w:spacing w:after="140" w:before="0" w:line="288" w:lineRule="auto"/>
      <w:ind/>
    </w:pPr>
  </w:style>
  <w:style w:type="paragraph" w:styleId="1673">
    <w:name w:val="List"/>
    <w:basedOn w:val="1680"/>
    <w:pPr>
      <w:pBdr/>
      <w:spacing/>
      <w:ind/>
    </w:pPr>
    <w:rPr>
      <w:rFonts w:cs="FreeSans"/>
    </w:rPr>
  </w:style>
  <w:style w:type="paragraph" w:styleId="1674">
    <w:name w:val="Caption"/>
    <w:basedOn w:val="1622"/>
    <w:qFormat/>
    <w:pPr>
      <w:suppressLineNumbers w:val="true"/>
      <w:pBdr/>
      <w:spacing w:after="120" w:before="120"/>
      <w:ind/>
    </w:pPr>
    <w:rPr>
      <w:rFonts w:cs="FreeSans"/>
      <w:i/>
      <w:iCs/>
      <w:sz w:val="24"/>
      <w:szCs w:val="24"/>
    </w:rPr>
  </w:style>
  <w:style w:type="paragraph" w:styleId="1675">
    <w:name w:val="Verzeichnis"/>
    <w:basedOn w:val="1622"/>
    <w:qFormat/>
    <w:pPr>
      <w:suppressLineNumbers w:val="true"/>
      <w:pBdr/>
      <w:spacing/>
      <w:ind/>
    </w:pPr>
    <w:rPr>
      <w:rFonts w:cs="FreeSans"/>
    </w:rPr>
  </w:style>
  <w:style w:type="paragraph" w:styleId="1676">
    <w:name w:val="Überschrift (user)"/>
    <w:basedOn w:val="1622"/>
    <w:next w:val="1672"/>
    <w:qFormat/>
    <w:pPr>
      <w:keepNext w:val="true"/>
      <w:pBdr/>
      <w:spacing w:after="120" w:before="240"/>
      <w:ind/>
    </w:pPr>
    <w:rPr>
      <w:rFonts w:ascii="Liberation Sans" w:hAnsi="Liberation Sans" w:eastAsia="Noto Sans" w:cs="FreeSans"/>
      <w:sz w:val="28"/>
      <w:szCs w:val="28"/>
    </w:rPr>
  </w:style>
  <w:style w:type="paragraph" w:styleId="1677">
    <w:name w:val="Verzeichnis (user)"/>
    <w:basedOn w:val="1622"/>
    <w:qFormat/>
    <w:pPr>
      <w:suppressLineNumbers w:val="true"/>
      <w:pBdr/>
      <w:spacing/>
      <w:ind/>
    </w:pPr>
    <w:rPr>
      <w:rFonts w:cs="FreeSans"/>
    </w:rPr>
  </w:style>
  <w:style w:type="paragraph" w:styleId="1678">
    <w:name w:val="Title"/>
    <w:basedOn w:val="1622"/>
    <w:next w:val="1622"/>
    <w:link w:val="1641"/>
    <w:uiPriority w:val="10"/>
    <w:qFormat/>
    <w:pPr>
      <w:pBdr/>
      <w:spacing w:after="80" w:before="0" w:line="240" w:lineRule="auto"/>
      <w:ind/>
      <w:contextualSpacing w:val="true"/>
    </w:pPr>
    <w:rPr>
      <w:rFonts w:ascii="Arial" w:hAnsi="Arial" w:eastAsia="Arial" w:cs="Arial"/>
      <w:spacing w:val="-10"/>
      <w:sz w:val="56"/>
      <w:szCs w:val="56"/>
    </w:rPr>
  </w:style>
  <w:style w:type="paragraph" w:styleId="1679">
    <w:name w:val="Subtitle"/>
    <w:basedOn w:val="1622"/>
    <w:next w:val="1622"/>
    <w:link w:val="1642"/>
    <w:uiPriority w:val="11"/>
    <w:qFormat/>
    <w:pPr>
      <w:pBdr/>
      <w:spacing/>
      <w:ind/>
    </w:pPr>
    <w:rPr>
      <w:color w:val="595959" w:themeColor="text1" w:themeTint="A6"/>
      <w:spacing w:val="15"/>
      <w:sz w:val="28"/>
      <w:szCs w:val="28"/>
    </w:rPr>
  </w:style>
  <w:style w:type="paragraph" w:styleId="1680">
    <w:name w:val="Основной текст"/>
    <w:basedOn w:val="1622"/>
    <w:qFormat/>
    <w:pPr>
      <w:numPr>
        <w:ilvl w:val="0"/>
        <w:numId w:val="3"/>
      </w:numPr>
      <w:pBdr/>
      <w:spacing w:after="140" w:before="0" w:line="276" w:lineRule="auto"/>
      <w:ind/>
    </w:pPr>
    <w:rPr>
      <w:sz w:val="22"/>
    </w:rPr>
  </w:style>
  <w:style w:type="paragraph" w:styleId="1681">
    <w:name w:val="Подзаголовок"/>
    <w:basedOn w:val="1622"/>
    <w:next w:val="1622"/>
    <w:link w:val="1642"/>
    <w:qFormat/>
    <w:pPr>
      <w:pBdr/>
      <w:spacing/>
      <w:ind/>
    </w:pPr>
    <w:rPr>
      <w:color w:val="595959" w:themeColor="dark1" w:themeTint="A6"/>
      <w:spacing w:val="15"/>
      <w:sz w:val="28"/>
      <w:szCs w:val="28"/>
    </w:rPr>
  </w:style>
  <w:style w:type="paragraph" w:styleId="1682">
    <w:name w:val="Quote"/>
    <w:basedOn w:val="1622"/>
    <w:next w:val="1622"/>
    <w:link w:val="1643"/>
    <w:qFormat/>
    <w:pPr>
      <w:pBdr/>
      <w:spacing w:after="0" w:before="160"/>
      <w:ind/>
      <w:jc w:val="center"/>
    </w:pPr>
    <w:rPr>
      <w:i/>
      <w:iCs/>
      <w:color w:val="404040" w:themeColor="dark1" w:themeTint="BF"/>
    </w:rPr>
  </w:style>
  <w:style w:type="paragraph" w:styleId="1683">
    <w:name w:val="List Paragraph"/>
    <w:basedOn w:val="1622"/>
    <w:qFormat/>
    <w:pPr>
      <w:pBdr/>
      <w:spacing w:after="0" w:before="0"/>
      <w:ind w:left="720"/>
      <w:contextualSpacing w:val="true"/>
    </w:pPr>
  </w:style>
  <w:style w:type="paragraph" w:styleId="1684">
    <w:name w:val="Intense Quote"/>
    <w:basedOn w:val="1622"/>
    <w:next w:val="1622"/>
    <w:link w:val="1645"/>
    <w:qFormat/>
    <w:pPr>
      <w:pBdr>
        <w:top w:val="single" w:color="0f4761" w:sz="4" w:space="10"/>
        <w:bottom w:val="single" w:color="0f4761" w:sz="4" w:space="10"/>
      </w:pBdr>
      <w:spacing w:after="360" w:before="360"/>
      <w:ind w:right="864" w:left="864"/>
      <w:jc w:val="center"/>
    </w:pPr>
    <w:rPr>
      <w:i/>
      <w:iCs/>
      <w:color w:val="0f4761" w:themeColor="accent1" w:themeShade="BF"/>
    </w:rPr>
  </w:style>
  <w:style w:type="paragraph" w:styleId="1685">
    <w:name w:val="No Spacing"/>
    <w:basedOn w:val="1622"/>
    <w:qFormat/>
    <w:pPr>
      <w:pBdr/>
      <w:spacing w:after="0" w:before="0" w:line="240" w:lineRule="auto"/>
      <w:ind/>
    </w:pPr>
  </w:style>
  <w:style w:type="paragraph" w:styleId="1686">
    <w:name w:val="Kopf-/Fußzeile"/>
    <w:basedOn w:val="1622"/>
    <w:qFormat/>
    <w:pPr>
      <w:pBdr/>
      <w:spacing/>
      <w:ind/>
    </w:pPr>
  </w:style>
  <w:style w:type="paragraph" w:styleId="1687">
    <w:name w:val="Kopf-/Fußzeile (user)"/>
    <w:basedOn w:val="1622"/>
    <w:qFormat/>
    <w:pPr>
      <w:pBdr/>
      <w:spacing/>
      <w:ind/>
    </w:pPr>
  </w:style>
  <w:style w:type="paragraph" w:styleId="1688">
    <w:name w:val="Header"/>
    <w:basedOn w:val="1622"/>
    <w:link w:val="1652"/>
    <w:pPr>
      <w:pBdr/>
      <w:tabs>
        <w:tab w:val="clear" w:leader="none" w:pos="709"/>
        <w:tab w:val="center" w:leader="none" w:pos="4844"/>
        <w:tab w:val="right" w:leader="none" w:pos="9689"/>
      </w:tabs>
      <w:spacing w:after="0" w:before="0" w:line="240" w:lineRule="auto"/>
      <w:ind/>
    </w:pPr>
  </w:style>
  <w:style w:type="paragraph" w:styleId="1689">
    <w:name w:val="Footer"/>
    <w:basedOn w:val="1622"/>
    <w:link w:val="1653"/>
    <w:pPr>
      <w:pBdr/>
      <w:tabs>
        <w:tab w:val="clear" w:leader="none" w:pos="709"/>
        <w:tab w:val="center" w:leader="none" w:pos="4844"/>
        <w:tab w:val="right" w:leader="none" w:pos="9689"/>
      </w:tabs>
      <w:spacing w:after="0" w:before="0" w:line="240" w:lineRule="auto"/>
      <w:ind/>
    </w:pPr>
  </w:style>
  <w:style w:type="paragraph" w:styleId="1690">
    <w:name w:val="endnote text"/>
    <w:basedOn w:val="1622"/>
    <w:link w:val="1655"/>
    <w:pPr>
      <w:pBdr/>
      <w:spacing w:after="0" w:before="0" w:line="240" w:lineRule="auto"/>
      <w:ind/>
    </w:pPr>
    <w:rPr>
      <w:sz w:val="20"/>
      <w:szCs w:val="20"/>
    </w:rPr>
  </w:style>
  <w:style w:type="paragraph" w:styleId="1691">
    <w:name w:val="toc 1"/>
    <w:basedOn w:val="1622"/>
    <w:next w:val="1622"/>
    <w:pPr>
      <w:pBdr/>
      <w:spacing w:after="100" w:before="0"/>
      <w:ind/>
    </w:pPr>
  </w:style>
  <w:style w:type="paragraph" w:styleId="1692">
    <w:name w:val="toc 2"/>
    <w:basedOn w:val="1622"/>
    <w:next w:val="1622"/>
    <w:pPr>
      <w:pBdr/>
      <w:spacing w:after="100" w:before="0"/>
      <w:ind w:left="220"/>
    </w:pPr>
  </w:style>
  <w:style w:type="paragraph" w:styleId="1693">
    <w:name w:val="toc 3"/>
    <w:basedOn w:val="1622"/>
    <w:next w:val="1622"/>
    <w:pPr>
      <w:pBdr/>
      <w:spacing w:after="100" w:before="0"/>
      <w:ind w:left="440"/>
    </w:pPr>
  </w:style>
  <w:style w:type="paragraph" w:styleId="1694">
    <w:name w:val="toc 4"/>
    <w:basedOn w:val="1622"/>
    <w:next w:val="1622"/>
    <w:pPr>
      <w:pBdr/>
      <w:spacing w:after="100" w:before="0"/>
      <w:ind w:left="660"/>
    </w:pPr>
  </w:style>
  <w:style w:type="paragraph" w:styleId="1695">
    <w:name w:val="toc 5"/>
    <w:basedOn w:val="1622"/>
    <w:next w:val="1622"/>
    <w:pPr>
      <w:pBdr/>
      <w:spacing w:after="100" w:before="0"/>
      <w:ind w:left="880"/>
    </w:pPr>
  </w:style>
  <w:style w:type="paragraph" w:styleId="1696">
    <w:name w:val="toc 6"/>
    <w:basedOn w:val="1622"/>
    <w:next w:val="1622"/>
    <w:pPr>
      <w:pBdr/>
      <w:spacing w:after="100" w:before="0"/>
      <w:ind w:left="1100"/>
    </w:pPr>
  </w:style>
  <w:style w:type="paragraph" w:styleId="1697">
    <w:name w:val="toc 7"/>
    <w:basedOn w:val="1622"/>
    <w:next w:val="1622"/>
    <w:pPr>
      <w:pBdr/>
      <w:spacing w:after="100" w:before="0"/>
      <w:ind w:left="1320"/>
    </w:pPr>
  </w:style>
  <w:style w:type="paragraph" w:styleId="1698">
    <w:name w:val="toc 8"/>
    <w:basedOn w:val="1622"/>
    <w:next w:val="1622"/>
    <w:pPr>
      <w:pBdr/>
      <w:spacing w:after="100" w:before="0"/>
      <w:ind w:left="1540"/>
    </w:pPr>
  </w:style>
  <w:style w:type="paragraph" w:styleId="1699">
    <w:name w:val="toc 9"/>
    <w:basedOn w:val="1622"/>
    <w:next w:val="1622"/>
    <w:pPr>
      <w:pBdr/>
      <w:spacing w:after="100" w:before="0"/>
      <w:ind w:left="1760"/>
    </w:pPr>
  </w:style>
  <w:style w:type="paragraph" w:styleId="1700">
    <w:name w:val="index heading"/>
    <w:basedOn w:val="1671"/>
    <w:pPr>
      <w:pBdr/>
      <w:spacing/>
      <w:ind/>
    </w:pPr>
  </w:style>
  <w:style w:type="paragraph" w:styleId="1701">
    <w:name w:val="TOC Heading"/>
    <w:qFormat/>
    <w:pPr>
      <w:widowControl w:val="true"/>
      <w:pBdr/>
      <w:bidi w:val="false"/>
      <w:spacing w:after="0" w:before="0"/>
      <w:ind/>
      <w:jc w:val="left"/>
    </w:pPr>
    <w:rPr>
      <w:rFonts w:ascii="Liberation Serif" w:hAnsi="Liberation Serif" w:eastAsia="Tahoma" w:cs="FreeSans"/>
      <w:color w:val="auto"/>
      <w:sz w:val="24"/>
      <w:szCs w:val="24"/>
      <w:lang w:val="en-GB" w:eastAsia="zh-CN" w:bidi="hi-IN"/>
    </w:rPr>
  </w:style>
  <w:style w:type="paragraph" w:styleId="1702">
    <w:name w:val="table of figures"/>
    <w:basedOn w:val="1622"/>
    <w:next w:val="1622"/>
    <w:pPr>
      <w:pBdr/>
      <w:spacing w:after="0" w:before="0"/>
      <w:ind/>
    </w:pPr>
  </w:style>
  <w:style w:type="paragraph" w:styleId="1703">
    <w:name w:val="Заглавие"/>
    <w:qFormat/>
    <w:pPr>
      <w:keepNext w:val="false"/>
      <w:keepLines w:val="false"/>
      <w:pageBreakBefore w:val="false"/>
      <w:widowControl w:val="true"/>
      <w:pBdr/>
      <w:bidi w:val="false"/>
      <w:spacing w:after="0" w:before="0" w:line="240" w:lineRule="auto"/>
      <w:ind w:right="0" w:firstLine="0" w:left="0"/>
      <w:jc w:val="left"/>
    </w:pPr>
    <w:rPr>
      <w:rFonts w:ascii="Times New Roman" w:hAnsi="Times New Roman" w:eastAsia="Times New Roman" w:cs="Times New Roman"/>
      <w:b w:val="0"/>
      <w:bCs w:val="0"/>
      <w:i w:val="0"/>
      <w:iCs w:val="0"/>
      <w:caps w:val="0"/>
      <w:smallCaps w:val="0"/>
      <w:strike w:val="0"/>
      <w:color w:val="000000"/>
      <w:position w:val="0"/>
      <w:sz w:val="56"/>
      <w:szCs w:val="56"/>
      <w:u w:val="none"/>
      <w:shd w:val="clear" w:color="auto" w:fill="auto"/>
      <w:vertAlign w:val="baseline"/>
      <w:lang w:val="en-GB" w:eastAsia="zh-CN" w:bidi="hi-IN"/>
    </w:rPr>
  </w:style>
  <w:style w:type="paragraph" w:styleId="1704">
    <w:name w:val="footnote text"/>
    <w:basedOn w:val="1622"/>
    <w:pPr>
      <w:suppressLineNumbers w:val="true"/>
      <w:pBdr/>
      <w:spacing/>
      <w:ind w:hanging="340" w:left="340"/>
    </w:pPr>
    <w:rPr>
      <w:sz w:val="20"/>
      <w:szCs w:val="20"/>
    </w:rPr>
  </w:style>
  <w:style w:type="paragraph" w:styleId="1705">
    <w:name w:val="Rahmeninhalt (user)"/>
    <w:basedOn w:val="1622"/>
    <w:qFormat/>
    <w:pPr>
      <w:pBdr/>
      <w:spacing/>
      <w:ind/>
    </w:pPr>
  </w:style>
  <w:style w:type="paragraph" w:styleId="1706">
    <w:name w:val="Kommentar (user)"/>
    <w:basedOn w:val="1622"/>
    <w:qFormat/>
    <w:pPr>
      <w:pBdr/>
      <w:spacing w:after="0" w:before="56" w:line="240" w:lineRule="auto"/>
      <w:ind w:right="57" w:firstLine="0" w:left="57"/>
    </w:pPr>
    <w:rPr>
      <w:color w:val="auto"/>
      <w:sz w:val="20"/>
      <w:szCs w:val="20"/>
    </w:rPr>
  </w:style>
  <w:style w:type="paragraph" w:styleId="1707">
    <w:name w:val="Kommentar"/>
    <w:basedOn w:val="1622"/>
    <w:qFormat/>
    <w:pPr>
      <w:pBdr/>
      <w:spacing w:after="0" w:before="56" w:line="240" w:lineRule="auto"/>
      <w:ind w:right="57" w:firstLine="0" w:left="57"/>
    </w:pPr>
    <w:rPr>
      <w:color w:val="auto"/>
      <w:sz w:val="20"/>
      <w:szCs w:val="20"/>
    </w:rPr>
  </w:style>
  <w:style w:type="paragraph" w:styleId="1708">
    <w:name w:val="Erste Seite"/>
    <w:basedOn w:val="1622"/>
    <w:qFormat/>
    <w:pPr>
      <w:numPr>
        <w:ilvl w:val="0"/>
        <w:numId w:val="0"/>
      </w:numPr>
      <w:pBdr/>
      <w:spacing/>
      <w:ind w:right="0" w:firstLine="0" w:left="0"/>
      <w:jc w:val="center"/>
    </w:pPr>
    <w:rPr>
      <w:b/>
      <w:bCs/>
      <w:sz w:val="32"/>
      <w:szCs w:val="32"/>
      <w:u w:val="single"/>
    </w:rPr>
  </w:style>
  <w:style w:type="paragraph" w:styleId="1709">
    <w:name w:val="Tabellen Inhalt"/>
    <w:basedOn w:val="1622"/>
    <w:qFormat/>
    <w:pPr>
      <w:suppressLineNumbers w:val="true"/>
      <w:pBdr/>
      <w:spacing/>
      <w:ind/>
    </w:pPr>
  </w:style>
  <w:style w:type="numbering" w:styleId="1710">
    <w:name w:val="Keine Liste (user)"/>
    <w:uiPriority w:val="99"/>
    <w:semiHidden/>
    <w:unhideWhenUsed/>
    <w:qFormat/>
    <w:pPr>
      <w:pBdr/>
      <w:spacing/>
      <w:ind/>
    </w:pPr>
  </w:style>
  <w:style w:type="numbering" w:styleId="1711">
    <w:name w:val="Keine Liste"/>
    <w:qFormat/>
    <w:pPr>
      <w:pBdr/>
      <w:spacing/>
      <w:ind/>
    </w:pPr>
  </w:style>
  <w:style w:type="numbering" w:styleId="1712">
    <w:name w:val="Nummerierung 123"/>
    <w:qFormat/>
    <w:pPr>
      <w:pBdr/>
      <w:spacing/>
      <w:ind/>
    </w:pPr>
  </w:style>
  <w:style w:type="numbering" w:styleId="1713">
    <w:name w:val="Aufzählungszeichen •"/>
    <w:qFormat/>
    <w:pPr>
      <w:pBdr/>
      <w:spacing/>
      <w:ind/>
    </w:pPr>
  </w:style>
  <w:style w:type="numbering" w:styleId="1714">
    <w:name w:val="Numbering 1"/>
    <w:qFormat/>
    <w:pPr>
      <w:pBdr/>
      <w:spacing/>
      <w:ind/>
    </w:pPr>
  </w:style>
  <w:style w:type="table" w:styleId="1715"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6">
    <w:name w:val="Table Grid"/>
    <w:basedOn w:val="1715"/>
    <w:uiPriority w:val="59"/>
    <w:pPr>
      <w:pBdr/>
      <w:spacing w:after="0" w:line="240" w:lineRule="auto"/>
      <w:ind/>
    </w:pPr>
    <w:tblPr>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7">
    <w:name w:val="Table Grid Light"/>
    <w:basedOn w:val="1715"/>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8">
    <w:name w:val="Plain Table 1"/>
    <w:basedOn w:val="1715"/>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9">
    <w:name w:val="Plain Table 2"/>
    <w:basedOn w:val="1715"/>
    <w:uiPriority w:val="59"/>
    <w:pPr>
      <w:pBdr/>
      <w:spacing w:after="0" w:line="240" w:lineRule="auto"/>
      <w:ind/>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bottom w:val="single" w:color="000000" w:themeColor="text1"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0">
    <w:name w:val="Plain Table 3"/>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rPr>
      <w:pPr>
        <w:pBdr/>
        <w:spacing/>
        <w:ind/>
      </w:pPr>
      <w:tblPr>
        <w:tblBorders/>
      </w:tblPr>
      <w:tcPr>
        <w:tcBorders/>
      </w:tcPr>
    </w:tblStylePr>
    <w:tblStylePr w:type="lastRow">
      <w:rPr>
        <w:b/>
        <w:caps/>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1">
    <w:name w:val="Plain Table 4"/>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2">
    <w:name w:val="Plain Table 5"/>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right w:val="single" w:color="404040" w:sz="4" w:space="0"/>
        </w:tcBorders>
      </w:tcPr>
    </w:tblStylePr>
    <w:tblStylePr w:type="firstRow">
      <w:rPr>
        <w:i/>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rPr>
      <w:pPr>
        <w:pBdr/>
        <w:spacing/>
        <w:ind/>
      </w:pPr>
      <w:tblPr>
        <w:tblBorders/>
      </w:tblPr>
      <w:tcPr>
        <w:shd w:val="clear" w:color="ffffff"/>
        <w:tcBorders>
          <w:left w:val="single" w:color="404040" w:sz="4" w:space="0"/>
        </w:tcBorders>
      </w:tcPr>
    </w:tblStylePr>
    <w:tblStylePr w:type="lastRow">
      <w:rPr>
        <w:i/>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3">
    <w:name w:val="Grid Table 1 Light"/>
    <w:basedOn w:val="1715"/>
    <w:uiPriority w:val="99"/>
    <w:pPr>
      <w:pBdr/>
      <w:spacing w:after="0" w:line="240" w:lineRule="auto"/>
      <w:ind/>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tex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4">
    <w:name w:val="Grid Table 1 Light - Accent 1"/>
    <w:basedOn w:val="1715"/>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5">
    <w:name w:val="Grid Table 1 Light - Accent 2"/>
    <w:basedOn w:val="1715"/>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2"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6">
    <w:name w:val="Grid Table 1 Light - Accent 3"/>
    <w:basedOn w:val="1715"/>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3"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7">
    <w:name w:val="Grid Table 1 Light - Accent 4"/>
    <w:basedOn w:val="1715"/>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4"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8">
    <w:name w:val="Grid Table 1 Light - Accent 5"/>
    <w:basedOn w:val="1715"/>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5"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9">
    <w:name w:val="Grid Table 1 Light - Accent 6"/>
    <w:basedOn w:val="1715"/>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6"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0">
    <w:name w:val="Grid Table 2"/>
    <w:basedOn w:val="1715"/>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1">
    <w:name w:val="Grid Table 2 - Accent 1"/>
    <w:basedOn w:val="1715"/>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sz w:val="22"/>
      </w:rPr>
      <w:pPr>
        <w:pBdr/>
        <w:spacing/>
        <w:ind/>
      </w:pPr>
      <w:tblPr>
        <w:tblBorders/>
      </w:tblPr>
      <w:tcPr>
        <w:shd w:val="clear" w:color="ffffff" w:fill="c3feba" w:themeFill="accent1" w:themeFillTint="34"/>
        <w:tcBorders/>
      </w:tcPr>
    </w:tblStylePr>
    <w:tblStylePr w:type="band1Vert">
      <w:rPr>
        <w:sz w:val="22"/>
      </w:rPr>
      <w:pPr>
        <w:pBdr/>
        <w:spacing/>
        <w:ind/>
      </w:pPr>
      <w:tblPr>
        <w:tblBorders/>
      </w:tblPr>
      <w:tcPr>
        <w:shd w:val="clear" w:color="ffffff" w:fill="c3feba"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2">
    <w:name w:val="Grid Table 2 - Accent 2"/>
    <w:basedOn w:val="1715"/>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sz w:val="22"/>
      </w:rPr>
      <w:pPr>
        <w:pBdr/>
        <w:spacing/>
        <w:ind/>
      </w:pPr>
      <w:tblPr>
        <w:tblBorders/>
      </w:tblPr>
      <w:tcPr>
        <w:shd w:val="clear" w:color="ffffff" w:fill="bde6fe" w:themeFill="accent2" w:themeFillTint="32"/>
        <w:tcBorders/>
      </w:tcPr>
    </w:tblStylePr>
    <w:tblStylePr w:type="band1Vert">
      <w:rPr>
        <w:sz w:val="22"/>
      </w:rPr>
      <w:pPr>
        <w:pBdr/>
        <w:spacing/>
        <w:ind/>
      </w:pPr>
      <w:tblPr>
        <w:tblBorders/>
      </w:tblPr>
      <w:tcPr>
        <w:shd w:val="clear" w:color="ffffff" w:fill="bde6fe"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3">
    <w:name w:val="Grid Table 2 - Accent 3"/>
    <w:basedOn w:val="1715"/>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sz w:val="22"/>
      </w:rPr>
      <w:pPr>
        <w:pBdr/>
        <w:spacing/>
        <w:ind/>
      </w:pPr>
      <w:tblPr>
        <w:tblBorders/>
      </w:tblPr>
      <w:tcPr>
        <w:shd w:val="clear" w:color="ffffff" w:fill="fed3ba" w:themeFill="accent3" w:themeFillTint="34"/>
        <w:tcBorders/>
      </w:tcPr>
    </w:tblStylePr>
    <w:tblStylePr w:type="band1Vert">
      <w:rPr>
        <w:sz w:val="22"/>
      </w:rPr>
      <w:pPr>
        <w:pBdr/>
        <w:spacing/>
        <w:ind/>
      </w:pPr>
      <w:tblPr>
        <w:tblBorders/>
      </w:tblPr>
      <w:tcPr>
        <w:shd w:val="clear" w:color="ffffff" w:fill="fed3ba"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4">
    <w:name w:val="Grid Table 2 - Accent 4"/>
    <w:basedOn w:val="1715"/>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sz w:val="22"/>
      </w:rPr>
      <w:pPr>
        <w:pBdr/>
        <w:spacing/>
        <w:ind/>
      </w:pPr>
      <w:tblPr>
        <w:tblBorders/>
      </w:tblPr>
      <w:tcPr>
        <w:shd w:val="clear" w:color="ffffff" w:fill="f5bafe" w:themeFill="accent4" w:themeFillTint="34"/>
        <w:tcBorders/>
      </w:tcPr>
    </w:tblStylePr>
    <w:tblStylePr w:type="band1Vert">
      <w:rPr>
        <w:sz w:val="22"/>
      </w:rPr>
      <w:pPr>
        <w:pBdr/>
        <w:spacing/>
        <w:ind/>
      </w:pPr>
      <w:tblPr>
        <w:tblBorders/>
      </w:tblPr>
      <w:tcPr>
        <w:shd w:val="clear" w:color="ffffff" w:fill="f5bafe"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5">
    <w:name w:val="Grid Table 2 - Accent 5"/>
    <w:basedOn w:val="1715"/>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sz w:val="22"/>
      </w:rPr>
      <w:pPr>
        <w:pBdr/>
        <w:spacing/>
        <w:ind/>
      </w:pPr>
      <w:tblPr>
        <w:tblBorders/>
      </w:tblPr>
      <w:tcPr>
        <w:shd w:val="clear" w:color="ffffff" w:fill="fff1c0" w:themeFill="accent5" w:themeFillTint="34"/>
        <w:tcBorders/>
      </w:tcPr>
    </w:tblStylePr>
    <w:tblStylePr w:type="band1Vert">
      <w:rPr>
        <w:sz w:val="22"/>
      </w:rPr>
      <w:pPr>
        <w:pBdr/>
        <w:spacing/>
        <w:ind/>
      </w:pPr>
      <w:tblPr>
        <w:tblBorders/>
      </w:tblPr>
      <w:tcPr>
        <w:shd w:val="clear" w:color="ffffff" w:fill="fff1c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6">
    <w:name w:val="Grid Table 2 - Accent 6"/>
    <w:basedOn w:val="1715"/>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sz w:val="22"/>
      </w:rPr>
      <w:pPr>
        <w:pBdr/>
        <w:spacing/>
        <w:ind/>
      </w:pPr>
      <w:tblPr>
        <w:tblBorders/>
      </w:tblPr>
      <w:tcPr>
        <w:shd w:val="clear" w:color="ffffff" w:fill="f8cecd" w:themeFill="accent6" w:themeFillTint="34"/>
        <w:tcBorders/>
      </w:tcPr>
    </w:tblStylePr>
    <w:tblStylePr w:type="band1Vert">
      <w:rPr>
        <w:sz w:val="22"/>
      </w:rPr>
      <w:pPr>
        <w:pBdr/>
        <w:spacing/>
        <w:ind/>
      </w:pPr>
      <w:tblPr>
        <w:tblBorders/>
      </w:tblPr>
      <w:tcPr>
        <w:shd w:val="clear" w:color="ffffff" w:fill="f8cec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7">
    <w:name w:val="Grid Table 3"/>
    <w:basedOn w:val="1715"/>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8">
    <w:name w:val="Grid Table 3 - Accent 1"/>
    <w:basedOn w:val="1715"/>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sz w:val="22"/>
      </w:rPr>
      <w:pPr>
        <w:pBdr/>
        <w:spacing/>
        <w:ind/>
      </w:pPr>
      <w:tblPr>
        <w:tblBorders/>
      </w:tblPr>
      <w:tcPr>
        <w:shd w:val="clear" w:color="ffffff" w:fill="c3feba" w:themeFill="accent1" w:themeFillTint="34"/>
        <w:tcBorders/>
      </w:tcPr>
    </w:tblStylePr>
    <w:tblStylePr w:type="band1Vert">
      <w:rPr>
        <w:sz w:val="22"/>
      </w:rPr>
      <w:pPr>
        <w:pBdr/>
        <w:spacing/>
        <w:ind/>
      </w:pPr>
      <w:tblPr>
        <w:tblBorders/>
      </w:tblPr>
      <w:tcPr>
        <w:shd w:val="clear" w:color="ffffff" w:fill="c3feba"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9">
    <w:name w:val="Grid Table 3 - Accent 2"/>
    <w:basedOn w:val="1715"/>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sz w:val="22"/>
      </w:rPr>
      <w:pPr>
        <w:pBdr/>
        <w:spacing/>
        <w:ind/>
      </w:pPr>
      <w:tblPr>
        <w:tblBorders/>
      </w:tblPr>
      <w:tcPr>
        <w:shd w:val="clear" w:color="ffffff" w:fill="bde6fe" w:themeFill="accent2" w:themeFillTint="32"/>
        <w:tcBorders/>
      </w:tcPr>
    </w:tblStylePr>
    <w:tblStylePr w:type="band1Vert">
      <w:rPr>
        <w:sz w:val="22"/>
      </w:rPr>
      <w:pPr>
        <w:pBdr/>
        <w:spacing/>
        <w:ind/>
      </w:pPr>
      <w:tblPr>
        <w:tblBorders/>
      </w:tblPr>
      <w:tcPr>
        <w:shd w:val="clear" w:color="ffffff" w:fill="bde6fe"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0">
    <w:name w:val="Grid Table 3 - Accent 3"/>
    <w:basedOn w:val="1715"/>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sz w:val="22"/>
      </w:rPr>
      <w:pPr>
        <w:pBdr/>
        <w:spacing/>
        <w:ind/>
      </w:pPr>
      <w:tblPr>
        <w:tblBorders/>
      </w:tblPr>
      <w:tcPr>
        <w:shd w:val="clear" w:color="ffffff" w:fill="fed3ba" w:themeFill="accent3" w:themeFillTint="34"/>
        <w:tcBorders/>
      </w:tcPr>
    </w:tblStylePr>
    <w:tblStylePr w:type="band1Vert">
      <w:rPr>
        <w:sz w:val="22"/>
      </w:rPr>
      <w:pPr>
        <w:pBdr/>
        <w:spacing/>
        <w:ind/>
      </w:pPr>
      <w:tblPr>
        <w:tblBorders/>
      </w:tblPr>
      <w:tcPr>
        <w:shd w:val="clear" w:color="ffffff" w:fill="fed3ba"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1">
    <w:name w:val="Grid Table 3 - Accent 4"/>
    <w:basedOn w:val="1715"/>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sz w:val="22"/>
      </w:rPr>
      <w:pPr>
        <w:pBdr/>
        <w:spacing/>
        <w:ind/>
      </w:pPr>
      <w:tblPr>
        <w:tblBorders/>
      </w:tblPr>
      <w:tcPr>
        <w:shd w:val="clear" w:color="ffffff" w:fill="f5bafe" w:themeFill="accent4" w:themeFillTint="34"/>
        <w:tcBorders/>
      </w:tcPr>
    </w:tblStylePr>
    <w:tblStylePr w:type="band1Vert">
      <w:rPr>
        <w:sz w:val="22"/>
      </w:rPr>
      <w:pPr>
        <w:pBdr/>
        <w:spacing/>
        <w:ind/>
      </w:pPr>
      <w:tblPr>
        <w:tblBorders/>
      </w:tblPr>
      <w:tcPr>
        <w:shd w:val="clear" w:color="ffffff" w:fill="f5bafe"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2">
    <w:name w:val="Grid Table 3 - Accent 5"/>
    <w:basedOn w:val="1715"/>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sz w:val="22"/>
      </w:rPr>
      <w:pPr>
        <w:pBdr/>
        <w:spacing/>
        <w:ind/>
      </w:pPr>
      <w:tblPr>
        <w:tblBorders/>
      </w:tblPr>
      <w:tcPr>
        <w:shd w:val="clear" w:color="ffffff" w:fill="fff1c0" w:themeFill="accent5" w:themeFillTint="34"/>
        <w:tcBorders/>
      </w:tcPr>
    </w:tblStylePr>
    <w:tblStylePr w:type="band1Vert">
      <w:rPr>
        <w:sz w:val="22"/>
      </w:rPr>
      <w:pPr>
        <w:pBdr/>
        <w:spacing/>
        <w:ind/>
      </w:pPr>
      <w:tblPr>
        <w:tblBorders/>
      </w:tblPr>
      <w:tcPr>
        <w:shd w:val="clear" w:color="ffffff" w:fill="fff1c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3">
    <w:name w:val="Grid Table 3 - Accent 6"/>
    <w:basedOn w:val="1715"/>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sz w:val="22"/>
      </w:rPr>
      <w:pPr>
        <w:pBdr/>
        <w:spacing/>
        <w:ind/>
      </w:pPr>
      <w:tblPr>
        <w:tblBorders/>
      </w:tblPr>
      <w:tcPr>
        <w:shd w:val="clear" w:color="ffffff" w:fill="f8cecd" w:themeFill="accent6" w:themeFillTint="34"/>
        <w:tcBorders/>
      </w:tcPr>
    </w:tblStylePr>
    <w:tblStylePr w:type="band1Vert">
      <w:rPr>
        <w:sz w:val="22"/>
      </w:rPr>
      <w:pPr>
        <w:pBdr/>
        <w:spacing/>
        <w:ind/>
      </w:pPr>
      <w:tblPr>
        <w:tblBorders/>
      </w:tblPr>
      <w:tcPr>
        <w:shd w:val="clear" w:color="ffffff" w:fill="f8cec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4">
    <w:name w:val="Grid Table 4"/>
    <w:basedOn w:val="1715"/>
    <w:uiPriority w:val="59"/>
    <w:pPr>
      <w:pBdr/>
      <w:spacing w:after="0" w:line="240" w:lineRule="auto"/>
      <w:ind/>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5">
    <w:name w:val="Grid Table 4 - Accent 1"/>
    <w:basedOn w:val="1715"/>
    <w:uiPriority w:val="5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sz w:val="22"/>
      </w:rPr>
      <w:pPr>
        <w:pBdr/>
        <w:spacing/>
        <w:ind/>
      </w:pPr>
      <w:tblPr>
        <w:tblBorders/>
      </w:tblPr>
      <w:tcPr>
        <w:shd w:val="clear" w:color="ffffff" w:fill="c5febd" w:themeFill="accent1" w:themeFillTint="32"/>
        <w:tcBorders/>
      </w:tcPr>
    </w:tblStylePr>
    <w:tblStylePr w:type="band1Vert">
      <w:rPr>
        <w:sz w:val="22"/>
      </w:rPr>
      <w:pPr>
        <w:pBdr/>
        <w:spacing/>
        <w:ind/>
      </w:pPr>
      <w:tblPr>
        <w:tblBorders/>
      </w:tblPr>
      <w:tcPr>
        <w:shd w:val="clear" w:color="ffffff" w:fill="c5febd"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1cbf04"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6">
    <w:name w:val="Grid Table 4 - Accent 2"/>
    <w:basedOn w:val="1715"/>
    <w:uiPriority w:val="5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sz w:val="22"/>
      </w:rPr>
      <w:pPr>
        <w:pBdr/>
        <w:spacing/>
        <w:ind/>
      </w:pPr>
      <w:tblPr>
        <w:tblBorders/>
      </w:tblPr>
      <w:tcPr>
        <w:shd w:val="clear" w:color="ffffff" w:fill="bde6fe" w:themeFill="accent2" w:themeFillTint="32"/>
        <w:tcBorders/>
      </w:tcPr>
    </w:tblStylePr>
    <w:tblStylePr w:type="band1Vert">
      <w:rPr>
        <w:sz w:val="22"/>
      </w:rPr>
      <w:pPr>
        <w:pBdr/>
        <w:spacing/>
        <w:ind/>
      </w:pPr>
      <w:tblPr>
        <w:tblBorders/>
      </w:tblPr>
      <w:tcPr>
        <w:shd w:val="clear" w:color="ffffff" w:fill="bde6fe"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37b4fb"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7">
    <w:name w:val="Grid Table 4 - Accent 3"/>
    <w:basedOn w:val="1715"/>
    <w:uiPriority w:val="5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sz w:val="22"/>
      </w:rPr>
      <w:pPr>
        <w:pBdr/>
        <w:spacing/>
        <w:ind/>
      </w:pPr>
      <w:tblPr>
        <w:tblBorders/>
      </w:tblPr>
      <w:tcPr>
        <w:shd w:val="clear" w:color="ffffff" w:fill="fed3ba" w:themeFill="accent3" w:themeFillTint="34"/>
        <w:tcBorders/>
      </w:tcPr>
    </w:tblStylePr>
    <w:tblStylePr w:type="band1Vert">
      <w:rPr>
        <w:sz w:val="22"/>
      </w:rPr>
      <w:pPr>
        <w:pBdr/>
        <w:spacing/>
        <w:ind/>
      </w:pPr>
      <w:tblPr>
        <w:tblBorders/>
      </w:tblPr>
      <w:tcPr>
        <w:shd w:val="clear" w:color="ffffff" w:fill="fed3ba"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a43f03"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8">
    <w:name w:val="Grid Table 4 - Accent 4"/>
    <w:basedOn w:val="1715"/>
    <w:uiPriority w:val="5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sz w:val="22"/>
      </w:rPr>
      <w:pPr>
        <w:pBdr/>
        <w:spacing/>
        <w:ind/>
      </w:pPr>
      <w:tblPr>
        <w:tblBorders/>
      </w:tblPr>
      <w:tcPr>
        <w:shd w:val="clear" w:color="ffffff" w:fill="f5bafe" w:themeFill="accent4" w:themeFillTint="34"/>
        <w:tcBorders/>
      </w:tcPr>
    </w:tblStylePr>
    <w:tblStylePr w:type="band1Vert">
      <w:rPr>
        <w:sz w:val="22"/>
      </w:rPr>
      <w:pPr>
        <w:pBdr/>
        <w:spacing/>
        <w:ind/>
      </w:pPr>
      <w:tblPr>
        <w:tblBorders/>
      </w:tblPr>
      <w:tcPr>
        <w:shd w:val="clear" w:color="ffffff" w:fill="f5bafe"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e133fb"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9">
    <w:name w:val="Grid Table 4 - Accent 5"/>
    <w:basedOn w:val="1715"/>
    <w:uiPriority w:val="5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sz w:val="22"/>
      </w:rPr>
      <w:pPr>
        <w:pBdr/>
        <w:spacing/>
        <w:ind/>
      </w:pPr>
      <w:tblPr>
        <w:tblBorders/>
      </w:tblPr>
      <w:tcPr>
        <w:shd w:val="clear" w:color="ffffff" w:fill="fff1c0" w:themeFill="accent5" w:themeFillTint="34"/>
        <w:tcBorders/>
      </w:tcPr>
    </w:tblStylePr>
    <w:tblStylePr w:type="band1Vert">
      <w:rPr>
        <w:sz w:val="22"/>
      </w:rPr>
      <w:pPr>
        <w:pBdr/>
        <w:spacing/>
        <w:ind/>
      </w:pPr>
      <w:tblPr>
        <w:tblBorders/>
      </w:tblPr>
      <w:tcPr>
        <w:shd w:val="clear" w:color="ffffff" w:fill="fff1c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c99c00"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0">
    <w:name w:val="Grid Table 4 - Accent 6"/>
    <w:basedOn w:val="1715"/>
    <w:uiPriority w:val="5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sz w:val="22"/>
      </w:rPr>
      <w:pPr>
        <w:pBdr/>
        <w:spacing/>
        <w:ind/>
      </w:pPr>
      <w:tblPr>
        <w:tblBorders/>
      </w:tblPr>
      <w:tcPr>
        <w:shd w:val="clear" w:color="ffffff" w:fill="f8cecd" w:themeFill="accent6" w:themeFillTint="34"/>
        <w:tcBorders/>
      </w:tcPr>
    </w:tblStylePr>
    <w:tblStylePr w:type="band1Vert">
      <w:rPr>
        <w:sz w:val="22"/>
      </w:rPr>
      <w:pPr>
        <w:pBdr/>
        <w:spacing/>
        <w:ind/>
      </w:pPr>
      <w:tblPr>
        <w:tblBorders/>
      </w:tblPr>
      <w:tcPr>
        <w:shd w:val="clear" w:color="ffffff" w:fill="f8cec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c9211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1">
    <w:name w:val="Grid Table 5 Dark"/>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8a8a8a" w:themeFill="text1" w:themeFillTint="75"/>
        <w:tcBorders/>
      </w:tcPr>
    </w:tblStylePr>
    <w:tblStylePr w:type="band1Vert">
      <w:pPr>
        <w:pBdr/>
        <w:spacing/>
        <w:ind/>
      </w:pPr>
      <w:tblPr>
        <w:tblBorders/>
      </w:tblPr>
      <w:tcPr>
        <w:shd w:val="clear" w:color="ffffff"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000000" w:themeFill="text1"/>
        <w:tcBorders/>
      </w:tcPr>
    </w:tblStylePr>
    <w:tblStylePr w:type="firstRow">
      <w:rPr>
        <w:b/>
        <w:sz w:val="22"/>
      </w:rPr>
      <w:pPr>
        <w:pBdr/>
        <w:spacing/>
        <w:ind/>
      </w:pPr>
      <w:tblPr>
        <w:tblBorders/>
      </w:tblPr>
      <w:tcPr>
        <w:shd w:val="clear" w:color="ffffff" w:fill="000000" w:themeFill="text1"/>
        <w:tcBorders/>
      </w:tcPr>
    </w:tblStylePr>
    <w:tblStylePr w:type="lastCol">
      <w:rPr>
        <w:b/>
        <w:sz w:val="22"/>
      </w:rPr>
      <w:pPr>
        <w:pBdr/>
        <w:spacing/>
        <w:ind/>
      </w:pPr>
      <w:tblPr>
        <w:tblBorders/>
      </w:tblPr>
      <w:tcPr>
        <w:shd w:val="clear" w:color="ffffff" w:fill="000000" w:themeFill="text1"/>
        <w:tcBorders/>
      </w:tcPr>
    </w:tblStylePr>
    <w:tblStylePr w:type="lastRow">
      <w:rPr>
        <w:b/>
        <w:sz w:val="22"/>
      </w:rPr>
      <w:pPr>
        <w:pBdr/>
        <w:spacing/>
        <w:ind/>
      </w:pPr>
      <w:tblPr>
        <w:tblBorders/>
      </w:tblPr>
      <w:tcPr>
        <w:shd w:val="clear" w:color="ffffff"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2">
    <w:name w:val="Grid Table 5 Dark- Accent 1"/>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78fc64" w:themeFill="accent1" w:themeFillTint="75"/>
        <w:tcBorders/>
      </w:tcPr>
    </w:tblStylePr>
    <w:tblStylePr w:type="band1Vert">
      <w:pPr>
        <w:pBdr/>
        <w:spacing/>
        <w:ind/>
      </w:pPr>
      <w:tblPr>
        <w:tblBorders/>
      </w:tblPr>
      <w:tcPr>
        <w:shd w:val="clear" w:color="ffffff" w:fill="78fc6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18a303" w:themeFill="accent1"/>
        <w:tcBorders/>
      </w:tcPr>
    </w:tblStylePr>
    <w:tblStylePr w:type="firstRow">
      <w:rPr>
        <w:b/>
        <w:sz w:val="22"/>
      </w:rPr>
      <w:pPr>
        <w:pBdr/>
        <w:spacing/>
        <w:ind/>
      </w:pPr>
      <w:tblPr>
        <w:tblBorders/>
      </w:tblPr>
      <w:tcPr>
        <w:shd w:val="clear" w:color="ffffff" w:fill="18a303" w:themeFill="accent1"/>
        <w:tcBorders/>
      </w:tcPr>
    </w:tblStylePr>
    <w:tblStylePr w:type="lastCol">
      <w:rPr>
        <w:b/>
        <w:sz w:val="22"/>
      </w:rPr>
      <w:pPr>
        <w:pBdr/>
        <w:spacing/>
        <w:ind/>
      </w:pPr>
      <w:tblPr>
        <w:tblBorders/>
      </w:tblPr>
      <w:tcPr>
        <w:shd w:val="clear" w:color="ffffff" w:fill="18a303" w:themeFill="accent1"/>
        <w:tcBorders/>
      </w:tcPr>
    </w:tblStylePr>
    <w:tblStylePr w:type="lastRow">
      <w:rPr>
        <w:b/>
        <w:sz w:val="22"/>
      </w:rPr>
      <w:pPr>
        <w:pBdr/>
        <w:spacing/>
        <w:ind/>
      </w:pPr>
      <w:tblPr>
        <w:tblBorders/>
      </w:tblPr>
      <w:tcPr>
        <w:shd w:val="clear" w:color="ffffff" w:fill="18a303"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3">
    <w:name w:val="Grid Table 5 Dark - Accent 2"/>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64c5fc" w:themeFill="accent2" w:themeFillTint="75"/>
        <w:tcBorders/>
      </w:tcPr>
    </w:tblStylePr>
    <w:tblStylePr w:type="band1Vert">
      <w:pPr>
        <w:pBdr/>
        <w:spacing/>
        <w:ind/>
      </w:pPr>
      <w:tblPr>
        <w:tblBorders/>
      </w:tblPr>
      <w:tcPr>
        <w:shd w:val="clear" w:color="ffffff" w:fill="64c5f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0369a3" w:themeFill="accent2"/>
        <w:tcBorders/>
      </w:tcPr>
    </w:tblStylePr>
    <w:tblStylePr w:type="firstRow">
      <w:rPr>
        <w:b/>
        <w:sz w:val="22"/>
      </w:rPr>
      <w:pPr>
        <w:pBdr/>
        <w:spacing/>
        <w:ind/>
      </w:pPr>
      <w:tblPr>
        <w:tblBorders/>
      </w:tblPr>
      <w:tcPr>
        <w:shd w:val="clear" w:color="ffffff" w:fill="0369a3" w:themeFill="accent2"/>
        <w:tcBorders/>
      </w:tcPr>
    </w:tblStylePr>
    <w:tblStylePr w:type="lastCol">
      <w:rPr>
        <w:b/>
        <w:sz w:val="22"/>
      </w:rPr>
      <w:pPr>
        <w:pBdr/>
        <w:spacing/>
        <w:ind/>
      </w:pPr>
      <w:tblPr>
        <w:tblBorders/>
      </w:tblPr>
      <w:tcPr>
        <w:shd w:val="clear" w:color="ffffff" w:fill="0369a3" w:themeFill="accent2"/>
        <w:tcBorders/>
      </w:tcPr>
    </w:tblStylePr>
    <w:tblStylePr w:type="lastRow">
      <w:rPr>
        <w:b/>
        <w:sz w:val="22"/>
      </w:rPr>
      <w:pPr>
        <w:pBdr/>
        <w:spacing/>
        <w:ind/>
      </w:pPr>
      <w:tblPr>
        <w:tblBorders/>
      </w:tblPr>
      <w:tcPr>
        <w:shd w:val="clear" w:color="ffffff" w:fill="0369a3"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4">
    <w:name w:val="Grid Table 5 Dark - Accent 3"/>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c9c64" w:themeFill="accent3" w:themeFillTint="75"/>
        <w:tcBorders/>
      </w:tcPr>
    </w:tblStylePr>
    <w:tblStylePr w:type="band1Vert">
      <w:pPr>
        <w:pBdr/>
        <w:spacing/>
        <w:ind/>
      </w:pPr>
      <w:tblPr>
        <w:tblBorders/>
      </w:tblPr>
      <w:tcPr>
        <w:shd w:val="clear" w:color="ffffff" w:fill="fc9c64"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a33e03" w:themeFill="accent3"/>
        <w:tcBorders/>
      </w:tcPr>
    </w:tblStylePr>
    <w:tblStylePr w:type="firstRow">
      <w:rPr>
        <w:b/>
        <w:sz w:val="22"/>
      </w:rPr>
      <w:pPr>
        <w:pBdr/>
        <w:spacing/>
        <w:ind/>
      </w:pPr>
      <w:tblPr>
        <w:tblBorders/>
      </w:tblPr>
      <w:tcPr>
        <w:shd w:val="clear" w:color="ffffff" w:fill="a33e03" w:themeFill="accent3"/>
        <w:tcBorders/>
      </w:tcPr>
    </w:tblStylePr>
    <w:tblStylePr w:type="lastCol">
      <w:rPr>
        <w:b/>
        <w:sz w:val="22"/>
      </w:rPr>
      <w:pPr>
        <w:pBdr/>
        <w:spacing/>
        <w:ind/>
      </w:pPr>
      <w:tblPr>
        <w:tblBorders/>
      </w:tblPr>
      <w:tcPr>
        <w:shd w:val="clear" w:color="ffffff" w:fill="a33e03" w:themeFill="accent3"/>
        <w:tcBorders/>
      </w:tcPr>
    </w:tblStylePr>
    <w:tblStylePr w:type="lastRow">
      <w:rPr>
        <w:b/>
        <w:sz w:val="22"/>
      </w:rPr>
      <w:pPr>
        <w:pBdr/>
        <w:spacing/>
        <w:ind/>
      </w:pPr>
      <w:tblPr>
        <w:tblBorders/>
      </w:tblPr>
      <w:tcPr>
        <w:shd w:val="clear" w:color="ffffff" w:fill="a33e03"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5">
    <w:name w:val="Grid Table 5 Dark- Accent 4"/>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e864fc" w:themeFill="accent4" w:themeFillTint="75"/>
        <w:tcBorders/>
      </w:tcPr>
    </w:tblStylePr>
    <w:tblStylePr w:type="band1Vert">
      <w:pPr>
        <w:pBdr/>
        <w:spacing/>
        <w:ind/>
      </w:pPr>
      <w:tblPr>
        <w:tblBorders/>
      </w:tblPr>
      <w:tcPr>
        <w:shd w:val="clear" w:color="ffffff" w:fill="e864fc"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8e03a3" w:themeFill="accent4"/>
        <w:tcBorders/>
      </w:tcPr>
    </w:tblStylePr>
    <w:tblStylePr w:type="firstRow">
      <w:rPr>
        <w:b/>
        <w:sz w:val="22"/>
      </w:rPr>
      <w:pPr>
        <w:pBdr/>
        <w:spacing/>
        <w:ind/>
      </w:pPr>
      <w:tblPr>
        <w:tblBorders/>
      </w:tblPr>
      <w:tcPr>
        <w:shd w:val="clear" w:color="ffffff" w:fill="8e03a3" w:themeFill="accent4"/>
        <w:tcBorders/>
      </w:tcPr>
    </w:tblStylePr>
    <w:tblStylePr w:type="lastCol">
      <w:rPr>
        <w:b/>
        <w:sz w:val="22"/>
      </w:rPr>
      <w:pPr>
        <w:pBdr/>
        <w:spacing/>
        <w:ind/>
      </w:pPr>
      <w:tblPr>
        <w:tblBorders/>
      </w:tblPr>
      <w:tcPr>
        <w:shd w:val="clear" w:color="ffffff" w:fill="8e03a3" w:themeFill="accent4"/>
        <w:tcBorders/>
      </w:tcPr>
    </w:tblStylePr>
    <w:tblStylePr w:type="lastRow">
      <w:rPr>
        <w:b/>
        <w:sz w:val="22"/>
      </w:rPr>
      <w:pPr>
        <w:pBdr/>
        <w:spacing/>
        <w:ind/>
      </w:pPr>
      <w:tblPr>
        <w:tblBorders/>
      </w:tblPr>
      <w:tcPr>
        <w:shd w:val="clear" w:color="ffffff" w:fill="8e03a3"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6">
    <w:name w:val="Grid Table 5 Dark - Accent 5"/>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fdf71" w:themeFill="accent5" w:themeFillTint="75"/>
        <w:tcBorders/>
      </w:tcPr>
    </w:tblStylePr>
    <w:tblStylePr w:type="band1Vert">
      <w:pPr>
        <w:pBdr/>
        <w:spacing/>
        <w:ind/>
      </w:pPr>
      <w:tblPr>
        <w:tblBorders/>
      </w:tblPr>
      <w:tcPr>
        <w:shd w:val="clear" w:color="ffffff" w:fill="ffdf71"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c99c00" w:themeFill="accent5"/>
        <w:tcBorders/>
      </w:tcPr>
    </w:tblStylePr>
    <w:tblStylePr w:type="firstRow">
      <w:rPr>
        <w:b/>
        <w:sz w:val="22"/>
      </w:rPr>
      <w:pPr>
        <w:pBdr/>
        <w:spacing/>
        <w:ind/>
      </w:pPr>
      <w:tblPr>
        <w:tblBorders/>
      </w:tblPr>
      <w:tcPr>
        <w:shd w:val="clear" w:color="ffffff" w:fill="c99c00" w:themeFill="accent5"/>
        <w:tcBorders/>
      </w:tcPr>
    </w:tblStylePr>
    <w:tblStylePr w:type="lastCol">
      <w:rPr>
        <w:b/>
        <w:sz w:val="22"/>
      </w:rPr>
      <w:pPr>
        <w:pBdr/>
        <w:spacing/>
        <w:ind/>
      </w:pPr>
      <w:tblPr>
        <w:tblBorders/>
      </w:tblPr>
      <w:tcPr>
        <w:shd w:val="clear" w:color="ffffff" w:fill="c99c00" w:themeFill="accent5"/>
        <w:tcBorders/>
      </w:tcPr>
    </w:tblStylePr>
    <w:tblStylePr w:type="lastRow">
      <w:rPr>
        <w:b/>
        <w:sz w:val="22"/>
      </w:rPr>
      <w:pPr>
        <w:pBdr/>
        <w:spacing/>
        <w:ind/>
      </w:pPr>
      <w:tblPr>
        <w:tblBorders/>
      </w:tblPr>
      <w:tcPr>
        <w:shd w:val="clear" w:color="ffffff" w:fill="c99c00"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7">
    <w:name w:val="Grid Table 5 Dark - Accent 6"/>
    <w:basedOn w:val="1715"/>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ee9190" w:themeFill="accent6" w:themeFillTint="75"/>
        <w:tcBorders/>
      </w:tcPr>
    </w:tblStylePr>
    <w:tblStylePr w:type="band1Vert">
      <w:pPr>
        <w:pBdr/>
        <w:spacing/>
        <w:ind/>
      </w:pPr>
      <w:tblPr>
        <w:tblBorders/>
      </w:tblPr>
      <w:tcPr>
        <w:shd w:val="clear" w:color="ffffff" w:fill="ee9190"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c9211e" w:themeFill="accent6"/>
        <w:tcBorders/>
      </w:tcPr>
    </w:tblStylePr>
    <w:tblStylePr w:type="firstRow">
      <w:rPr>
        <w:b/>
        <w:sz w:val="22"/>
      </w:rPr>
      <w:pPr>
        <w:pBdr/>
        <w:spacing/>
        <w:ind/>
      </w:pPr>
      <w:tblPr>
        <w:tblBorders/>
      </w:tblPr>
      <w:tcPr>
        <w:shd w:val="clear" w:color="ffffff" w:fill="c9211e" w:themeFill="accent6"/>
        <w:tcBorders/>
      </w:tcPr>
    </w:tblStylePr>
    <w:tblStylePr w:type="lastCol">
      <w:rPr>
        <w:b/>
        <w:sz w:val="22"/>
      </w:rPr>
      <w:pPr>
        <w:pBdr/>
        <w:spacing/>
        <w:ind/>
      </w:pPr>
      <w:tblPr>
        <w:tblBorders/>
      </w:tblPr>
      <w:tcPr>
        <w:shd w:val="clear" w:color="ffffff" w:fill="c9211e" w:themeFill="accent6"/>
        <w:tcBorders/>
      </w:tcPr>
    </w:tblStylePr>
    <w:tblStylePr w:type="lastRow">
      <w:rPr>
        <w:b/>
        <w:sz w:val="22"/>
      </w:rPr>
      <w:pPr>
        <w:pBdr/>
        <w:spacing/>
        <w:ind/>
      </w:pPr>
      <w:tblPr>
        <w:tblBorders/>
      </w:tblPr>
      <w:tcPr>
        <w:shd w:val="clear" w:color="ffffff" w:fill="c9211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8">
    <w:name w:val="Grid Table 6 Colorful"/>
    <w:basedOn w:val="1715"/>
    <w:uiPriority w:val="99"/>
    <w:pPr>
      <w:pBdr/>
      <w:spacing w:after="0" w:line="240" w:lineRule="auto"/>
      <w:ind/>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04040" w:themeColor="text1" w:themeTint="80" w:themeShade="95"/>
        <w:sz w:val="22"/>
      </w:rPr>
      <w:pPr>
        <w:pBdr/>
        <w:spacing/>
        <w:ind/>
      </w:pPr>
      <w:tblPr>
        <w:tblBorders/>
      </w:tblPr>
      <w:tcPr>
        <w:shd w:val="clear" w:color="ffffff" w:fill="cbcbcb" w:themeFill="text1" w:themeFillTint="34"/>
        <w:tcBorders/>
      </w:tcPr>
    </w:tblStylePr>
    <w:tblStylePr w:type="band1Vert">
      <w:pPr>
        <w:pBdr/>
        <w:spacing/>
        <w:ind/>
      </w:pPr>
      <w:tblPr>
        <w:tblBorders/>
      </w:tblPr>
      <w:tcPr>
        <w:shd w:val="clear" w:color="ffffff" w:fill="cbcbcb" w:themeFill="text1" w:themeFillTint="34"/>
        <w:tcBorders/>
      </w:tcPr>
    </w:tblStylePr>
    <w:tblStylePr w:type="band2Horz">
      <w:rPr>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text1" w:themeTint="80" w:themeShade="95"/>
        <w:sz w:val="22"/>
      </w:rPr>
      <w:pPr>
        <w:pBdr/>
        <w:spacing/>
        <w:ind/>
      </w:pPr>
      <w:tblPr>
        <w:tblBorders/>
      </w:tblPr>
      <w:tcPr>
        <w:tcBorders/>
      </w:tcPr>
    </w:tblStylePr>
  </w:style>
  <w:style w:type="table" w:styleId="1759">
    <w:name w:val="Grid Table 6 Colorful - Accent 1"/>
    <w:basedOn w:val="1715"/>
    <w:uiPriority w:val="99"/>
    <w:pPr>
      <w:pBdr/>
      <w:spacing w:after="0" w:line="240" w:lineRule="auto"/>
      <w:ind/>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404040" w:themeColor="accent1" w:themeTint="80" w:themeShade="95"/>
        <w:sz w:val="22"/>
      </w:rPr>
      <w:pPr>
        <w:pBdr/>
        <w:spacing/>
        <w:ind/>
      </w:pPr>
      <w:tblPr>
        <w:tblBorders/>
      </w:tblPr>
      <w:tcPr>
        <w:shd w:val="clear" w:color="ffffff" w:fill="c3feba" w:themeFill="accent1" w:themeFillTint="34"/>
        <w:tcBorders/>
      </w:tcPr>
    </w:tblStylePr>
    <w:tblStylePr w:type="band1Vert">
      <w:pPr>
        <w:pBdr/>
        <w:spacing/>
        <w:ind/>
      </w:pPr>
      <w:tblPr>
        <w:tblBorders/>
      </w:tblPr>
      <w:tcPr>
        <w:shd w:val="clear" w:color="ffffff" w:fill="c3feba" w:themeFill="accent1" w:themeFillTint="34"/>
        <w:tcBorders/>
      </w:tcPr>
    </w:tblStylePr>
    <w:tblStylePr w:type="band2Horz">
      <w:rPr>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cc204" w:themeColor="accent1" w:themeTint="80" w:themeShade="95"/>
      </w:rPr>
      <w:pPr>
        <w:pBdr/>
        <w:spacing/>
        <w:ind/>
      </w:pPr>
      <w:tblPr>
        <w:tblBorders/>
      </w:tblPr>
      <w:tcPr>
        <w:tcBorders/>
      </w:tcPr>
    </w:tblStylePr>
    <w:tblStylePr w:type="firstRow">
      <w:rPr>
        <w:b/>
        <w:color w:val="1cc204" w:themeColor="accent1" w:themeTint="80" w:themeShade="95"/>
      </w:rPr>
      <w:pPr>
        <w:pBdr/>
        <w:spacing/>
        <w:ind/>
      </w:pPr>
      <w:tblPr>
        <w:tblBorders/>
      </w:tblPr>
      <w:tcPr>
        <w:tcBorders>
          <w:bottom w:val="single" w:color="000000" w:themeColor="accent1" w:sz="12" w:space="0"/>
        </w:tcBorders>
      </w:tcPr>
    </w:tblStylePr>
    <w:tblStylePr w:type="lastCol">
      <w:rPr>
        <w:b/>
        <w:color w:val="1cc204" w:themeColor="accent1" w:themeTint="80" w:themeShade="95"/>
      </w:rPr>
      <w:pPr>
        <w:pBdr/>
        <w:spacing/>
        <w:ind/>
      </w:pPr>
      <w:tblPr>
        <w:tblBorders/>
      </w:tblPr>
      <w:tcPr>
        <w:tcBorders/>
      </w:tcPr>
    </w:tblStylePr>
    <w:tblStylePr w:type="lastRow">
      <w:rPr>
        <w:b/>
        <w:color w:val="1cc204"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1" w:themeTint="80" w:themeShade="95"/>
        <w:sz w:val="22"/>
      </w:rPr>
      <w:pPr>
        <w:pBdr/>
        <w:spacing/>
        <w:ind/>
      </w:pPr>
      <w:tblPr>
        <w:tblBorders/>
      </w:tblPr>
      <w:tcPr>
        <w:tcBorders/>
      </w:tcPr>
    </w:tblStylePr>
  </w:style>
  <w:style w:type="table" w:styleId="1760">
    <w:name w:val="Grid Table 6 Colorful - Accent 2"/>
    <w:basedOn w:val="1715"/>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bde6fe" w:themeFill="accent2" w:themeFillTint="32"/>
        <w:tcBorders/>
      </w:tcPr>
    </w:tblStylePr>
    <w:tblStylePr w:type="band1Vert">
      <w:pPr>
        <w:pBdr/>
        <w:spacing/>
        <w:ind/>
      </w:pPr>
      <w:tblPr>
        <w:tblBorders/>
      </w:tblPr>
      <w:tcPr>
        <w:shd w:val="clear" w:color="ffffff" w:fill="bde6fe" w:themeFill="accent2" w:themeFillTint="32"/>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371b0" w:themeColor="accent2" w:themeTint="97" w:themeShade="95"/>
      </w:rPr>
      <w:pPr>
        <w:pBdr/>
        <w:spacing/>
        <w:ind/>
      </w:pPr>
      <w:tblPr>
        <w:tblBorders/>
      </w:tblPr>
      <w:tcPr>
        <w:tcBorders/>
      </w:tcPr>
    </w:tblStylePr>
    <w:tblStylePr w:type="firstRow">
      <w:rPr>
        <w:b/>
        <w:color w:val="0371b0" w:themeColor="accent2" w:themeTint="97" w:themeShade="95"/>
      </w:rPr>
      <w:pPr>
        <w:pBdr/>
        <w:spacing/>
        <w:ind/>
      </w:pPr>
      <w:tblPr>
        <w:tblBorders/>
      </w:tblPr>
      <w:tcPr>
        <w:tcBorders>
          <w:bottom w:val="single" w:color="000000" w:themeColor="accent2" w:sz="12" w:space="0"/>
        </w:tcBorders>
      </w:tcPr>
    </w:tblStylePr>
    <w:tblStylePr w:type="lastCol">
      <w:rPr>
        <w:b/>
        <w:color w:val="0371b0" w:themeColor="accent2" w:themeTint="97" w:themeShade="95"/>
      </w:rPr>
      <w:pPr>
        <w:pBdr/>
        <w:spacing/>
        <w:ind/>
      </w:pPr>
      <w:tblPr>
        <w:tblBorders/>
      </w:tblPr>
      <w:tcPr>
        <w:tcBorders/>
      </w:tcPr>
    </w:tblStylePr>
    <w:tblStylePr w:type="lastRow">
      <w:rPr>
        <w:b/>
        <w:color w:val="0371b0"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2" w:themeTint="97" w:themeShade="95"/>
        <w:sz w:val="22"/>
      </w:rPr>
      <w:pPr>
        <w:pBdr/>
        <w:spacing/>
        <w:ind/>
      </w:pPr>
      <w:tblPr>
        <w:tblBorders/>
      </w:tblPr>
      <w:tcPr>
        <w:tcBorders/>
      </w:tcPr>
    </w:tblStylePr>
  </w:style>
  <w:style w:type="table" w:styleId="1761">
    <w:name w:val="Grid Table 6 Colorful - Accent 3"/>
    <w:basedOn w:val="1715"/>
    <w:uiPriority w:val="99"/>
    <w:pPr>
      <w:pBdr/>
      <w:spacing w:after="0" w:line="240" w:lineRule="auto"/>
      <w:ind/>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404040" w:themeColor="accent3" w:themeTint="FE" w:themeShade="95"/>
        <w:sz w:val="22"/>
      </w:rPr>
      <w:pPr>
        <w:pBdr/>
        <w:spacing/>
        <w:ind/>
      </w:pPr>
      <w:tblPr>
        <w:tblBorders/>
      </w:tblPr>
      <w:tcPr>
        <w:shd w:val="clear" w:color="ffffff" w:fill="fed3ba" w:themeFill="accent3" w:themeFillTint="34"/>
        <w:tcBorders/>
      </w:tcPr>
    </w:tblStylePr>
    <w:tblStylePr w:type="band1Vert">
      <w:pPr>
        <w:pBdr/>
        <w:spacing/>
        <w:ind/>
      </w:pPr>
      <w:tblPr>
        <w:tblBorders/>
      </w:tblPr>
      <w:tcPr>
        <w:shd w:val="clear" w:color="ffffff" w:fill="fed3ba" w:themeFill="accent3" w:themeFillTint="34"/>
        <w:tcBorders/>
      </w:tcPr>
    </w:tblStylePr>
    <w:tblStylePr w:type="band2Horz">
      <w:rPr>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2502" w:themeColor="accent3" w:themeTint="FE" w:themeShade="95"/>
      </w:rPr>
      <w:pPr>
        <w:pBdr/>
        <w:spacing/>
        <w:ind/>
      </w:pPr>
      <w:tblPr>
        <w:tblBorders/>
      </w:tblPr>
      <w:tcPr>
        <w:tcBorders/>
      </w:tcPr>
    </w:tblStylePr>
    <w:tblStylePr w:type="firstRow">
      <w:rPr>
        <w:b/>
        <w:color w:val="602502" w:themeColor="accent3" w:themeTint="FE" w:themeShade="95"/>
      </w:rPr>
      <w:pPr>
        <w:pBdr/>
        <w:spacing/>
        <w:ind/>
      </w:pPr>
      <w:tblPr>
        <w:tblBorders/>
      </w:tblPr>
      <w:tcPr>
        <w:tcBorders>
          <w:bottom w:val="single" w:color="000000" w:themeColor="accent3" w:sz="12" w:space="0"/>
        </w:tcBorders>
      </w:tcPr>
    </w:tblStylePr>
    <w:tblStylePr w:type="lastCol">
      <w:rPr>
        <w:b/>
        <w:color w:val="602502" w:themeColor="accent3" w:themeTint="FE" w:themeShade="95"/>
      </w:rPr>
      <w:pPr>
        <w:pBdr/>
        <w:spacing/>
        <w:ind/>
      </w:pPr>
      <w:tblPr>
        <w:tblBorders/>
      </w:tblPr>
      <w:tcPr>
        <w:tcBorders/>
      </w:tcPr>
    </w:tblStylePr>
    <w:tblStylePr w:type="lastRow">
      <w:rPr>
        <w:b/>
        <w:color w:val="602502"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3" w:themeTint="FE" w:themeShade="95"/>
        <w:sz w:val="22"/>
      </w:rPr>
      <w:pPr>
        <w:pBdr/>
        <w:spacing/>
        <w:ind/>
      </w:pPr>
      <w:tblPr>
        <w:tblBorders/>
      </w:tblPr>
      <w:tcPr>
        <w:tcBorders/>
      </w:tcPr>
    </w:tblStylePr>
  </w:style>
  <w:style w:type="table" w:styleId="1762">
    <w:name w:val="Grid Table 6 Colorful - Accent 4"/>
    <w:basedOn w:val="1715"/>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5bafe" w:themeFill="accent4" w:themeFillTint="34"/>
        <w:tcBorders/>
      </w:tcPr>
    </w:tblStylePr>
    <w:tblStylePr w:type="band1Vert">
      <w:pPr>
        <w:pBdr/>
        <w:spacing/>
        <w:ind/>
      </w:pPr>
      <w:tblPr>
        <w:tblBorders/>
      </w:tblPr>
      <w:tcPr>
        <w:shd w:val="clear" w:color="ffffff" w:fill="f5bafe" w:themeFill="accent4" w:themeFillTint="34"/>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703ad" w:themeColor="accent4" w:themeTint="9A" w:themeShade="95"/>
      </w:rPr>
      <w:pPr>
        <w:pBdr/>
        <w:spacing/>
        <w:ind/>
      </w:pPr>
      <w:tblPr>
        <w:tblBorders/>
      </w:tblPr>
      <w:tcPr>
        <w:tcBorders/>
      </w:tcPr>
    </w:tblStylePr>
    <w:tblStylePr w:type="firstRow">
      <w:rPr>
        <w:b/>
        <w:color w:val="9703ad" w:themeColor="accent4" w:themeTint="9A" w:themeShade="95"/>
      </w:rPr>
      <w:pPr>
        <w:pBdr/>
        <w:spacing/>
        <w:ind/>
      </w:pPr>
      <w:tblPr>
        <w:tblBorders/>
      </w:tblPr>
      <w:tcPr>
        <w:tcBorders>
          <w:bottom w:val="single" w:color="000000" w:themeColor="accent4" w:sz="12" w:space="0"/>
        </w:tcBorders>
      </w:tcPr>
    </w:tblStylePr>
    <w:tblStylePr w:type="lastCol">
      <w:rPr>
        <w:b/>
        <w:color w:val="9703ad" w:themeColor="accent4" w:themeTint="9A" w:themeShade="95"/>
      </w:rPr>
      <w:pPr>
        <w:pBdr/>
        <w:spacing/>
        <w:ind/>
      </w:pPr>
      <w:tblPr>
        <w:tblBorders/>
      </w:tblPr>
      <w:tcPr>
        <w:tcBorders/>
      </w:tcPr>
    </w:tblStylePr>
    <w:tblStylePr w:type="lastRow">
      <w:rPr>
        <w:b/>
        <w:color w:val="9703ad"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4" w:themeTint="9A" w:themeShade="95"/>
        <w:sz w:val="22"/>
      </w:rPr>
      <w:pPr>
        <w:pBdr/>
        <w:spacing/>
        <w:ind/>
      </w:pPr>
      <w:tblPr>
        <w:tblBorders/>
      </w:tblPr>
      <w:tcPr>
        <w:tcBorders/>
      </w:tcPr>
    </w:tblStylePr>
  </w:style>
  <w:style w:type="table" w:styleId="1763">
    <w:name w:val="Grid Table 6 Colorful - Accent 5"/>
    <w:basedOn w:val="1715"/>
    <w:uiPriority w:val="99"/>
    <w:pPr>
      <w:pBdr/>
      <w:spacing w:after="0" w:line="240" w:lineRule="auto"/>
      <w:ind/>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themeColor="accent5" w:themeShade="95"/>
        <w:sz w:val="22"/>
      </w:rPr>
      <w:pPr>
        <w:pBdr/>
        <w:spacing/>
        <w:ind/>
      </w:pPr>
      <w:tblPr>
        <w:tblBorders/>
      </w:tblPr>
      <w:tcPr>
        <w:shd w:val="clear" w:color="ffffff" w:fill="fff1c0" w:themeFill="accent5" w:themeFillTint="34"/>
        <w:tcBorders/>
      </w:tcPr>
    </w:tblStylePr>
    <w:tblStylePr w:type="band1Vert">
      <w:pPr>
        <w:pBdr/>
        <w:spacing/>
        <w:ind/>
      </w:pPr>
      <w:tblPr>
        <w:tblBorders/>
      </w:tblPr>
      <w:tcPr>
        <w:shd w:val="clear" w:color="ffffff" w:fill="fff1c0" w:themeFill="accent5"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5b00" w:themeColor="accent5" w:themeShade="95"/>
      </w:rPr>
      <w:pPr>
        <w:pBdr/>
        <w:spacing/>
        <w:ind/>
      </w:pPr>
      <w:tblPr>
        <w:tblBorders/>
      </w:tblPr>
      <w:tcPr>
        <w:tcBorders/>
      </w:tcPr>
    </w:tblStylePr>
    <w:tblStylePr w:type="firstRow">
      <w:rPr>
        <w:b/>
        <w:color w:val="755b00" w:themeColor="accent5" w:themeShade="95"/>
      </w:rPr>
      <w:pPr>
        <w:pBdr/>
        <w:spacing/>
        <w:ind/>
      </w:pPr>
      <w:tblPr>
        <w:tblBorders/>
      </w:tblPr>
      <w:tcPr>
        <w:tcBorders>
          <w:bottom w:val="single" w:color="000000" w:themeColor="accent5" w:sz="12" w:space="0"/>
        </w:tcBorders>
      </w:tcPr>
    </w:tblStylePr>
    <w:tblStylePr w:type="lastCol">
      <w:rPr>
        <w:b/>
        <w:color w:val="755b00" w:themeColor="accent5" w:themeShade="95"/>
      </w:rPr>
      <w:pPr>
        <w:pBdr/>
        <w:spacing/>
        <w:ind/>
      </w:pPr>
      <w:tblPr>
        <w:tblBorders/>
      </w:tblPr>
      <w:tcPr>
        <w:tcBorders/>
      </w:tcPr>
    </w:tblStylePr>
    <w:tblStylePr w:type="lastRow">
      <w:rPr>
        <w:b/>
        <w:color w:val="755b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1764">
    <w:name w:val="Grid Table 6 Colorful - Accent 6"/>
    <w:basedOn w:val="1715"/>
    <w:uiPriority w:val="99"/>
    <w:pPr>
      <w:pBdr/>
      <w:spacing w:after="0" w:line="240" w:lineRule="auto"/>
      <w:ind/>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themeColor="accent5" w:themeShade="95"/>
        <w:sz w:val="22"/>
      </w:rPr>
      <w:pPr>
        <w:pBdr/>
        <w:spacing/>
        <w:ind/>
      </w:pPr>
      <w:tblPr>
        <w:tblBorders/>
      </w:tblPr>
      <w:tcPr>
        <w:shd w:val="clear" w:color="ffffff" w:fill="f8cecd" w:themeFill="accent6" w:themeFillTint="34"/>
        <w:tcBorders/>
      </w:tcPr>
    </w:tblStylePr>
    <w:tblStylePr w:type="band1Vert">
      <w:pPr>
        <w:pBdr/>
        <w:spacing/>
        <w:ind/>
      </w:pPr>
      <w:tblPr>
        <w:tblBorders/>
      </w:tblPr>
      <w:tcPr>
        <w:shd w:val="clear" w:color="ffffff" w:fill="f8cecd" w:themeFill="accent6"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5b00" w:themeColor="accent5" w:themeShade="95"/>
      </w:rPr>
      <w:pPr>
        <w:pBdr/>
        <w:spacing/>
        <w:ind/>
      </w:pPr>
      <w:tblPr>
        <w:tblBorders/>
      </w:tblPr>
      <w:tcPr>
        <w:tcBorders/>
      </w:tcPr>
    </w:tblStylePr>
    <w:tblStylePr w:type="firstRow">
      <w:rPr>
        <w:b/>
        <w:color w:val="755b00" w:themeColor="accent5" w:themeShade="95"/>
      </w:rPr>
      <w:pPr>
        <w:pBdr/>
        <w:spacing/>
        <w:ind/>
      </w:pPr>
      <w:tblPr>
        <w:tblBorders/>
      </w:tblPr>
      <w:tcPr>
        <w:tcBorders>
          <w:bottom w:val="single" w:color="000000" w:themeColor="accent6" w:sz="12" w:space="0"/>
        </w:tcBorders>
      </w:tcPr>
    </w:tblStylePr>
    <w:tblStylePr w:type="lastCol">
      <w:rPr>
        <w:b/>
        <w:color w:val="755b00" w:themeColor="accent5" w:themeShade="95"/>
      </w:rPr>
      <w:pPr>
        <w:pBdr/>
        <w:spacing/>
        <w:ind/>
      </w:pPr>
      <w:tblPr>
        <w:tblBorders/>
      </w:tblPr>
      <w:tcPr>
        <w:tcBorders/>
      </w:tcPr>
    </w:tblStylePr>
    <w:tblStylePr w:type="lastRow">
      <w:rPr>
        <w:b/>
        <w:color w:val="755b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1765">
    <w:name w:val="Grid Table 7 Colorful"/>
    <w:basedOn w:val="1715"/>
    <w:uiPriority w:val="99"/>
    <w:pPr>
      <w:pBdr/>
      <w:spacing w:after="0" w:line="240" w:lineRule="auto"/>
      <w:ind/>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6">
    <w:name w:val="Grid Table 7 Colorful - Accent 1"/>
    <w:basedOn w:val="1715"/>
    <w:uiPriority w:val="99"/>
    <w:pPr>
      <w:pBdr/>
      <w:spacing w:after="0" w:line="240" w:lineRule="auto"/>
      <w:ind/>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1cc204" w:themeColor="accent1" w:themeTint="80" w:themeShade="95"/>
        <w:sz w:val="22"/>
      </w:rPr>
      <w:pPr>
        <w:pBdr/>
        <w:spacing/>
        <w:ind/>
      </w:pPr>
      <w:tblPr>
        <w:tblBorders/>
      </w:tblPr>
      <w:tcPr>
        <w:shd w:val="clear" w:color="ffffff" w:fill="c3feba" w:themeFill="accent1" w:themeFillTint="34"/>
        <w:tcBorders/>
      </w:tcPr>
    </w:tblStylePr>
    <w:tblStylePr w:type="band1Vert">
      <w:pPr>
        <w:pBdr/>
        <w:spacing/>
        <w:ind/>
      </w:pPr>
      <w:tblPr>
        <w:tblBorders/>
      </w:tblPr>
      <w:tcPr>
        <w:shd w:val="clear" w:color="ffffff" w:fill="c3feba" w:themeFill="accent1" w:themeFillTint="34"/>
        <w:tcBorders/>
      </w:tcPr>
    </w:tblStylePr>
    <w:tblStylePr w:type="band2Horz">
      <w:rPr>
        <w:color w:val="1cc204"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1cc204"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1cc204" w:themeColor="accen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1cc204" w:themeColor="accent1" w:themeTint="80"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1cc204" w:themeColor="accent1" w:themeTint="80"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7">
    <w:name w:val="Grid Table 7 Colorful - Accent 2"/>
    <w:basedOn w:val="1715"/>
    <w:uiPriority w:val="99"/>
    <w:pPr>
      <w:pBdr/>
      <w:spacing w:after="0" w:line="240" w:lineRule="auto"/>
      <w:ind/>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0371b0" w:themeColor="accent2" w:themeTint="97" w:themeShade="95"/>
        <w:sz w:val="22"/>
      </w:rPr>
      <w:pPr>
        <w:pBdr/>
        <w:spacing/>
        <w:ind/>
      </w:pPr>
      <w:tblPr>
        <w:tblBorders/>
      </w:tblPr>
      <w:tcPr>
        <w:shd w:val="clear" w:color="ffffff" w:fill="bde6fe" w:themeFill="accent2" w:themeFillTint="32"/>
        <w:tcBorders/>
      </w:tcPr>
    </w:tblStylePr>
    <w:tblStylePr w:type="band1Vert">
      <w:pPr>
        <w:pBdr/>
        <w:spacing/>
        <w:ind/>
      </w:pPr>
      <w:tblPr>
        <w:tblBorders/>
      </w:tblPr>
      <w:tcPr>
        <w:shd w:val="clear" w:color="ffffff" w:fill="bde6fe" w:themeFill="accent2" w:themeFillTint="32"/>
        <w:tcBorders/>
      </w:tcPr>
    </w:tblStylePr>
    <w:tblStylePr w:type="band2Horz">
      <w:rPr>
        <w:color w:val="0371b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0371b0"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0371b0"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0371b0"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0371b0"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8">
    <w:name w:val="Grid Table 7 Colorful - Accent 3"/>
    <w:basedOn w:val="1715"/>
    <w:uiPriority w:val="99"/>
    <w:pPr>
      <w:pBdr/>
      <w:spacing w:after="0" w:line="240" w:lineRule="auto"/>
      <w:ind/>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602502" w:themeColor="accent3" w:themeTint="FE" w:themeShade="95"/>
        <w:sz w:val="22"/>
      </w:rPr>
      <w:pPr>
        <w:pBdr/>
        <w:spacing/>
        <w:ind/>
      </w:pPr>
      <w:tblPr>
        <w:tblBorders/>
      </w:tblPr>
      <w:tcPr>
        <w:shd w:val="clear" w:color="ffffff" w:fill="fed3ba" w:themeFill="accent3" w:themeFillTint="34"/>
        <w:tcBorders/>
      </w:tcPr>
    </w:tblStylePr>
    <w:tblStylePr w:type="band1Vert">
      <w:pPr>
        <w:pBdr/>
        <w:spacing/>
        <w:ind/>
      </w:pPr>
      <w:tblPr>
        <w:tblBorders/>
      </w:tblPr>
      <w:tcPr>
        <w:shd w:val="clear" w:color="ffffff" w:fill="fed3ba" w:themeFill="accent3" w:themeFillTint="34"/>
        <w:tcBorders/>
      </w:tcPr>
    </w:tblStylePr>
    <w:tblStylePr w:type="band2Horz">
      <w:rPr>
        <w:color w:val="602502"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02502"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02502" w:themeColor="accent3" w:themeTint="FE"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02502" w:themeColor="accent3" w:themeTint="FE"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02502" w:themeColor="accent3" w:themeTint="FE"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9">
    <w:name w:val="Grid Table 7 Colorful - Accent 4"/>
    <w:basedOn w:val="1715"/>
    <w:uiPriority w:val="99"/>
    <w:pPr>
      <w:pBdr/>
      <w:spacing w:after="0" w:line="240" w:lineRule="auto"/>
      <w:ind/>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9703ad" w:themeColor="accent4" w:themeTint="9A" w:themeShade="95"/>
        <w:sz w:val="22"/>
      </w:rPr>
      <w:pPr>
        <w:pBdr/>
        <w:spacing/>
        <w:ind/>
      </w:pPr>
      <w:tblPr>
        <w:tblBorders/>
      </w:tblPr>
      <w:tcPr>
        <w:shd w:val="clear" w:color="ffffff" w:fill="f5bafe" w:themeFill="accent4" w:themeFillTint="34"/>
        <w:tcBorders/>
      </w:tcPr>
    </w:tblStylePr>
    <w:tblStylePr w:type="band1Vert">
      <w:pPr>
        <w:pBdr/>
        <w:spacing/>
        <w:ind/>
      </w:pPr>
      <w:tblPr>
        <w:tblBorders/>
      </w:tblPr>
      <w:tcPr>
        <w:shd w:val="clear" w:color="ffffff" w:fill="f5bafe" w:themeFill="accent4" w:themeFillTint="34"/>
        <w:tcBorders/>
      </w:tcPr>
    </w:tblStylePr>
    <w:tblStylePr w:type="band2Horz">
      <w:rPr>
        <w:color w:val="9703ad"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703ad"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9703ad"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9703ad"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9703ad"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0">
    <w:name w:val="Grid Table 7 Colorful - Accent 5"/>
    <w:basedOn w:val="1715"/>
    <w:uiPriority w:val="99"/>
    <w:pPr>
      <w:pBdr/>
      <w:spacing w:after="0" w:line="240" w:lineRule="auto"/>
      <w:ind/>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color w:val="755b00" w:themeColor="accent5" w:themeShade="95"/>
        <w:sz w:val="22"/>
      </w:rPr>
      <w:pPr>
        <w:pBdr/>
        <w:spacing/>
        <w:ind/>
      </w:pPr>
      <w:tblPr>
        <w:tblBorders/>
      </w:tblPr>
      <w:tcPr>
        <w:shd w:val="clear" w:color="ffffff" w:fill="fff1c0" w:themeFill="accent5" w:themeFillTint="34"/>
        <w:tcBorders/>
      </w:tcPr>
    </w:tblStylePr>
    <w:tblStylePr w:type="band1Vert">
      <w:pPr>
        <w:pBdr/>
        <w:spacing/>
        <w:ind/>
      </w:pPr>
      <w:tblPr>
        <w:tblBorders/>
      </w:tblPr>
      <w:tcPr>
        <w:shd w:val="clear" w:color="ffffff" w:fill="fff1c0" w:themeFill="accent5" w:themeFillTint="34"/>
        <w:tcBorders/>
      </w:tcPr>
    </w:tblStylePr>
    <w:tblStylePr w:type="band2Horz">
      <w:rPr>
        <w:color w:val="755b0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55b00"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755b00" w:themeColor="accent5"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755b00" w:themeColor="accent5"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755b00" w:themeColor="accent5"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1">
    <w:name w:val="Grid Table 7 Colorful - Accent 6"/>
    <w:basedOn w:val="1715"/>
    <w:uiPriority w:val="99"/>
    <w:pPr>
      <w:pBdr/>
      <w:spacing w:after="0" w:line="240" w:lineRule="auto"/>
      <w:ind/>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color w:val="751312" w:themeColor="accent6" w:themeShade="95"/>
        <w:sz w:val="22"/>
      </w:rPr>
      <w:pPr>
        <w:pBdr/>
        <w:spacing/>
        <w:ind/>
      </w:pPr>
      <w:tblPr>
        <w:tblBorders/>
      </w:tblPr>
      <w:tcPr>
        <w:shd w:val="clear" w:color="ffffff" w:fill="f8cecd" w:themeFill="accent6" w:themeFillTint="34"/>
        <w:tcBorders/>
      </w:tcPr>
    </w:tblStylePr>
    <w:tblStylePr w:type="band1Vert">
      <w:pPr>
        <w:pBdr/>
        <w:spacing/>
        <w:ind/>
      </w:pPr>
      <w:tblPr>
        <w:tblBorders/>
      </w:tblPr>
      <w:tcPr>
        <w:shd w:val="clear" w:color="ffffff" w:fill="f8cecd" w:themeFill="accent6" w:themeFillTint="34"/>
        <w:tcBorders/>
      </w:tcPr>
    </w:tblStylePr>
    <w:tblStylePr w:type="band2Horz">
      <w:rPr>
        <w:color w:val="751312"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51312"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751312" w:themeColor="accent6"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751312" w:themeColor="accent6"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751312" w:themeColor="accent6"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2">
    <w:name w:val="List Table 1 Light"/>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3">
    <w:name w:val="List Table 1 Light - Accent 1"/>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b5fdaa" w:themeFill="accent1" w:themeFillTint="40"/>
        <w:tcBorders/>
      </w:tcPr>
    </w:tblStylePr>
    <w:tblStylePr w:type="band1Vert">
      <w:pPr>
        <w:pBdr/>
        <w:spacing/>
        <w:ind/>
      </w:pPr>
      <w:tblPr>
        <w:tblBorders/>
      </w:tblPr>
      <w:tcPr>
        <w:shd w:val="clear" w:color="ffffff" w:fill="b5fdaa"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4">
    <w:name w:val="List Table 1 Light - Accent 2"/>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aadffd" w:themeFill="accent2" w:themeFillTint="40"/>
        <w:tcBorders/>
      </w:tcPr>
    </w:tblStylePr>
    <w:tblStylePr w:type="band1Vert">
      <w:pPr>
        <w:pBdr/>
        <w:spacing/>
        <w:ind/>
      </w:pPr>
      <w:tblPr>
        <w:tblBorders/>
      </w:tblPr>
      <w:tcPr>
        <w:shd w:val="clear" w:color="ffffff" w:fill="aadffd"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5">
    <w:name w:val="List Table 1 Light - Accent 3"/>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dc9aa" w:themeFill="accent3" w:themeFillTint="40"/>
        <w:tcBorders/>
      </w:tcPr>
    </w:tblStylePr>
    <w:tblStylePr w:type="band1Vert">
      <w:pPr>
        <w:pBdr/>
        <w:spacing/>
        <w:ind/>
      </w:pPr>
      <w:tblPr>
        <w:tblBorders/>
      </w:tblPr>
      <w:tcPr>
        <w:shd w:val="clear" w:color="ffffff" w:fill="fdc9a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6">
    <w:name w:val="List Table 1 Light - Accent 4"/>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3aafd" w:themeFill="accent4" w:themeFillTint="40"/>
        <w:tcBorders/>
      </w:tcPr>
    </w:tblStylePr>
    <w:tblStylePr w:type="band1Vert">
      <w:pPr>
        <w:pBdr/>
        <w:spacing/>
        <w:ind/>
      </w:pPr>
      <w:tblPr>
        <w:tblBorders/>
      </w:tblPr>
      <w:tcPr>
        <w:shd w:val="clear" w:color="ffffff" w:fill="f3aafd"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7">
    <w:name w:val="List Table 1 Light - Accent 5"/>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feeb1" w:themeFill="accent5" w:themeFillTint="40"/>
        <w:tcBorders/>
      </w:tcPr>
    </w:tblStylePr>
    <w:tblStylePr w:type="band1Vert">
      <w:pPr>
        <w:pBdr/>
        <w:spacing/>
        <w:ind/>
      </w:pPr>
      <w:tblPr>
        <w:tblBorders/>
      </w:tblPr>
      <w:tcPr>
        <w:shd w:val="clear" w:color="ffffff" w:fill="ffeeb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8">
    <w:name w:val="List Table 1 Light - Accent 6"/>
    <w:basedOn w:val="1715"/>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6c3c2" w:themeFill="accent6" w:themeFillTint="40"/>
        <w:tcBorders/>
      </w:tcPr>
    </w:tblStylePr>
    <w:tblStylePr w:type="band1Vert">
      <w:pPr>
        <w:pBdr/>
        <w:spacing/>
        <w:ind/>
      </w:pPr>
      <w:tblPr>
        <w:tblBorders/>
      </w:tblPr>
      <w:tcPr>
        <w:shd w:val="clear" w:color="ffffff" w:fill="f6c3c2"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9">
    <w:name w:val="List Table 2"/>
    <w:basedOn w:val="1715"/>
    <w:uiPriority w:val="99"/>
    <w:pPr>
      <w:pBdr/>
      <w:spacing w:after="0" w:line="240" w:lineRule="auto"/>
      <w:ind/>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sz w:val="22"/>
      </w:rPr>
      <w:pPr>
        <w:pBdr/>
        <w:spacing/>
        <w:ind/>
      </w:pPr>
      <w:tblPr>
        <w:tblBorders/>
      </w:tblPr>
      <w:tcPr>
        <w:shd w:val="clear" w:color="ffffff" w:fill="bfbfbf" w:themeFill="text1" w:themeFillTint="40"/>
        <w:tcBorders/>
      </w:tcPr>
    </w:tblStylePr>
    <w:tblStylePr w:type="band1Vert">
      <w:rPr>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0">
    <w:name w:val="List Table 2 - Accent 1"/>
    <w:basedOn w:val="1715"/>
    <w:uiPriority w:val="99"/>
    <w:pPr>
      <w:pBdr/>
      <w:spacing w:after="0" w:line="240" w:lineRule="auto"/>
      <w:ind/>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sz w:val="22"/>
      </w:rPr>
      <w:pPr>
        <w:pBdr/>
        <w:spacing/>
        <w:ind/>
      </w:pPr>
      <w:tblPr>
        <w:tblBorders/>
      </w:tblPr>
      <w:tcPr>
        <w:shd w:val="clear" w:color="ffffff" w:fill="b5fdaa" w:themeFill="accent1" w:themeFillTint="40"/>
        <w:tcBorders/>
      </w:tcPr>
    </w:tblStylePr>
    <w:tblStylePr w:type="band1Vert">
      <w:rPr>
        <w:sz w:val="22"/>
      </w:rPr>
      <w:pPr>
        <w:pBdr/>
        <w:spacing/>
        <w:ind/>
      </w:pPr>
      <w:tblPr>
        <w:tblBorders/>
      </w:tblPr>
      <w:tcPr>
        <w:shd w:val="clear" w:color="ffffff" w:fill="b5fdaa"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1">
    <w:name w:val="List Table 2 - Accent 2"/>
    <w:basedOn w:val="1715"/>
    <w:uiPriority w:val="99"/>
    <w:pPr>
      <w:pBdr/>
      <w:spacing w:after="0" w:line="240" w:lineRule="auto"/>
      <w:ind/>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sz w:val="22"/>
      </w:rPr>
      <w:pPr>
        <w:pBdr/>
        <w:spacing/>
        <w:ind/>
      </w:pPr>
      <w:tblPr>
        <w:tblBorders/>
      </w:tblPr>
      <w:tcPr>
        <w:shd w:val="clear" w:color="ffffff" w:fill="aadffd" w:themeFill="accent2" w:themeFillTint="40"/>
        <w:tcBorders/>
      </w:tcPr>
    </w:tblStylePr>
    <w:tblStylePr w:type="band1Vert">
      <w:rPr>
        <w:sz w:val="22"/>
      </w:rPr>
      <w:pPr>
        <w:pBdr/>
        <w:spacing/>
        <w:ind/>
      </w:pPr>
      <w:tblPr>
        <w:tblBorders/>
      </w:tblPr>
      <w:tcPr>
        <w:shd w:val="clear" w:color="ffffff" w:fill="aadffd"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2">
    <w:name w:val="List Table 2 - Accent 3"/>
    <w:basedOn w:val="1715"/>
    <w:uiPriority w:val="99"/>
    <w:pPr>
      <w:pBdr/>
      <w:spacing w:after="0" w:line="240" w:lineRule="auto"/>
      <w:ind/>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sz w:val="22"/>
      </w:rPr>
      <w:pPr>
        <w:pBdr/>
        <w:spacing/>
        <w:ind/>
      </w:pPr>
      <w:tblPr>
        <w:tblBorders/>
      </w:tblPr>
      <w:tcPr>
        <w:shd w:val="clear" w:color="ffffff" w:fill="fdc9aa" w:themeFill="accent3" w:themeFillTint="40"/>
        <w:tcBorders/>
      </w:tcPr>
    </w:tblStylePr>
    <w:tblStylePr w:type="band1Vert">
      <w:rPr>
        <w:sz w:val="22"/>
      </w:rPr>
      <w:pPr>
        <w:pBdr/>
        <w:spacing/>
        <w:ind/>
      </w:pPr>
      <w:tblPr>
        <w:tblBorders/>
      </w:tblPr>
      <w:tcPr>
        <w:shd w:val="clear" w:color="ffffff" w:fill="fdc9a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3">
    <w:name w:val="List Table 2 - Accent 4"/>
    <w:basedOn w:val="1715"/>
    <w:uiPriority w:val="99"/>
    <w:pPr>
      <w:pBdr/>
      <w:spacing w:after="0" w:line="240" w:lineRule="auto"/>
      <w:ind/>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sz w:val="22"/>
      </w:rPr>
      <w:pPr>
        <w:pBdr/>
        <w:spacing/>
        <w:ind/>
      </w:pPr>
      <w:tblPr>
        <w:tblBorders/>
      </w:tblPr>
      <w:tcPr>
        <w:shd w:val="clear" w:color="ffffff" w:fill="f3aafd" w:themeFill="accent4" w:themeFillTint="40"/>
        <w:tcBorders/>
      </w:tcPr>
    </w:tblStylePr>
    <w:tblStylePr w:type="band1Vert">
      <w:rPr>
        <w:sz w:val="22"/>
      </w:rPr>
      <w:pPr>
        <w:pBdr/>
        <w:spacing/>
        <w:ind/>
      </w:pPr>
      <w:tblPr>
        <w:tblBorders/>
      </w:tblPr>
      <w:tcPr>
        <w:shd w:val="clear" w:color="ffffff" w:fill="f3aafd"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4">
    <w:name w:val="List Table 2 - Accent 5"/>
    <w:basedOn w:val="1715"/>
    <w:uiPriority w:val="99"/>
    <w:pPr>
      <w:pBdr/>
      <w:spacing w:after="0" w:line="240" w:lineRule="auto"/>
      <w:ind/>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sz w:val="22"/>
      </w:rPr>
      <w:pPr>
        <w:pBdr/>
        <w:spacing/>
        <w:ind/>
      </w:pPr>
      <w:tblPr>
        <w:tblBorders/>
      </w:tblPr>
      <w:tcPr>
        <w:shd w:val="clear" w:color="ffffff" w:fill="ffeeb1" w:themeFill="accent5" w:themeFillTint="40"/>
        <w:tcBorders/>
      </w:tcPr>
    </w:tblStylePr>
    <w:tblStylePr w:type="band1Vert">
      <w:rPr>
        <w:sz w:val="22"/>
      </w:rPr>
      <w:pPr>
        <w:pBdr/>
        <w:spacing/>
        <w:ind/>
      </w:pPr>
      <w:tblPr>
        <w:tblBorders/>
      </w:tblPr>
      <w:tcPr>
        <w:shd w:val="clear" w:color="ffffff" w:fill="ffeeb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5">
    <w:name w:val="List Table 2 - Accent 6"/>
    <w:basedOn w:val="1715"/>
    <w:uiPriority w:val="99"/>
    <w:pPr>
      <w:pBdr/>
      <w:spacing w:after="0" w:line="240" w:lineRule="auto"/>
      <w:ind/>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sz w:val="22"/>
      </w:rPr>
      <w:pPr>
        <w:pBdr/>
        <w:spacing/>
        <w:ind/>
      </w:pPr>
      <w:tblPr>
        <w:tblBorders/>
      </w:tblPr>
      <w:tcPr>
        <w:shd w:val="clear" w:color="ffffff" w:fill="f6c3c2" w:themeFill="accent6" w:themeFillTint="40"/>
        <w:tcBorders/>
      </w:tcPr>
    </w:tblStylePr>
    <w:tblStylePr w:type="band1Vert">
      <w:rPr>
        <w:sz w:val="22"/>
      </w:rPr>
      <w:pPr>
        <w:pBdr/>
        <w:spacing/>
        <w:ind/>
      </w:pPr>
      <w:tblPr>
        <w:tblBorders/>
      </w:tblPr>
      <w:tcPr>
        <w:shd w:val="clear" w:color="ffffff" w:fill="f6c3c2"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6">
    <w:name w:val="List Table 3"/>
    <w:basedOn w:val="171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sz w:val="22"/>
      </w:rPr>
      <w:pPr>
        <w:pBdr/>
        <w:spacing/>
        <w:ind/>
      </w:pPr>
      <w:tblPr>
        <w:tblBorders/>
      </w:tblPr>
      <w:tcPr>
        <w:tcBorders>
          <w:top w:val="single" w:color="000000" w:themeColor="text1" w:sz="4" w:space="0"/>
          <w:bottom w:val="single" w:color="000000" w:themeColor="text1" w:sz="4" w:space="0"/>
        </w:tcBorders>
      </w:tcPr>
    </w:tblStylePr>
    <w:tblStylePr w:type="band1Vert">
      <w:rPr>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7">
    <w:name w:val="List Table 3 - Accent 1"/>
    <w:basedOn w:val="1715"/>
    <w:uiPriority w:val="99"/>
    <w:pPr>
      <w:pBdr/>
      <w:spacing w:after="0" w:line="240" w:lineRule="auto"/>
      <w:ind/>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sz w:val="22"/>
      </w:rPr>
      <w:pPr>
        <w:pBdr/>
        <w:spacing/>
        <w:ind/>
      </w:pPr>
      <w:tblPr>
        <w:tblBorders/>
      </w:tblPr>
      <w:tcPr>
        <w:tcBorders>
          <w:top w:val="single" w:color="000000" w:themeColor="accent1" w:sz="4" w:space="0"/>
          <w:bottom w:val="single" w:color="000000" w:themeColor="accent1" w:sz="4" w:space="0"/>
        </w:tcBorders>
      </w:tcPr>
    </w:tblStylePr>
    <w:tblStylePr w:type="band1Vert">
      <w:rPr>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18a303"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8">
    <w:name w:val="List Table 3 - Accent 2"/>
    <w:basedOn w:val="1715"/>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sz w:val="22"/>
      </w:rPr>
      <w:pPr>
        <w:pBdr/>
        <w:spacing/>
        <w:ind/>
      </w:pPr>
      <w:tblPr>
        <w:tblBorders/>
      </w:tblPr>
      <w:tcPr>
        <w:tcBorders>
          <w:top w:val="single" w:color="000000" w:themeColor="accent2" w:sz="4" w:space="0"/>
          <w:bottom w:val="single" w:color="000000" w:themeColor="accent2" w:sz="4" w:space="0"/>
        </w:tcBorders>
      </w:tcPr>
    </w:tblStylePr>
    <w:tblStylePr w:type="band1Vert">
      <w:rPr>
        <w:sz w:val="22"/>
      </w:rPr>
      <w:pPr>
        <w:pBdr/>
        <w:spacing/>
        <w:ind/>
      </w:pPr>
      <w:tblPr>
        <w:tblBorders/>
      </w:tblPr>
      <w:tcPr>
        <w:tcBorders>
          <w:left w:val="single" w:color="000000" w:themeColor="accent2" w:sz="4" w:space="0"/>
          <w:right w:val="single" w:color="000000"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37b4fb" w:themeFill="accent2" w:themeFillTint="97"/>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9">
    <w:name w:val="List Table 3 - Accent 3"/>
    <w:basedOn w:val="1715"/>
    <w:uiPriority w:val="99"/>
    <w:pPr>
      <w:pBdr/>
      <w:spacing w:after="0" w:line="240" w:lineRule="auto"/>
      <w:ind/>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sz w:val="22"/>
      </w:rPr>
      <w:pPr>
        <w:pBdr/>
        <w:spacing/>
        <w:ind/>
      </w:pPr>
      <w:tblPr>
        <w:tblBorders/>
      </w:tblPr>
      <w:tcPr>
        <w:tcBorders>
          <w:top w:val="single" w:color="000000" w:themeColor="accent3" w:sz="4" w:space="0"/>
          <w:bottom w:val="single" w:color="000000" w:themeColor="accent3" w:sz="4" w:space="0"/>
        </w:tcBorders>
      </w:tcPr>
    </w:tblStylePr>
    <w:tblStylePr w:type="band1Vert">
      <w:rPr>
        <w:sz w:val="22"/>
      </w:rPr>
      <w:pPr>
        <w:pBdr/>
        <w:spacing/>
        <w:ind/>
      </w:pPr>
      <w:tblPr>
        <w:tblBorders/>
      </w:tblPr>
      <w:tcPr>
        <w:tcBorders>
          <w:left w:val="single" w:color="000000" w:themeColor="accent3" w:sz="4" w:space="0"/>
          <w:right w:val="single" w:color="000000"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b7f36" w:themeFill="accent3"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0">
    <w:name w:val="List Table 3 - Accent 4"/>
    <w:basedOn w:val="1715"/>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sz w:val="22"/>
      </w:rPr>
      <w:pPr>
        <w:pBdr/>
        <w:spacing/>
        <w:ind/>
      </w:pPr>
      <w:tblPr>
        <w:tblBorders/>
      </w:tblPr>
      <w:tcPr>
        <w:tcBorders>
          <w:top w:val="single" w:color="000000" w:themeColor="accent4" w:sz="4" w:space="0"/>
          <w:bottom w:val="single" w:color="000000" w:themeColor="accent4" w:sz="4" w:space="0"/>
        </w:tcBorders>
      </w:tcPr>
    </w:tblStylePr>
    <w:tblStylePr w:type="band1Vert">
      <w:rPr>
        <w:sz w:val="22"/>
      </w:rPr>
      <w:pPr>
        <w:pBdr/>
        <w:spacing/>
        <w:ind/>
      </w:pPr>
      <w:tblPr>
        <w:tblBorders/>
      </w:tblPr>
      <w:tcPr>
        <w:tcBorders>
          <w:left w:val="single" w:color="000000" w:themeColor="accent4" w:sz="4" w:space="0"/>
          <w:right w:val="single" w:color="000000"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e133fb" w:themeFill="accent4"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1">
    <w:name w:val="List Table 3 - Accent 5"/>
    <w:basedOn w:val="1715"/>
    <w:uiPriority w:val="99"/>
    <w:pPr>
      <w:pBdr/>
      <w:spacing w:after="0" w:line="240" w:lineRule="auto"/>
      <w:ind/>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sz w:val="22"/>
      </w:rPr>
      <w:pPr>
        <w:pBdr/>
        <w:spacing/>
        <w:ind/>
      </w:pPr>
      <w:tblPr>
        <w:tblBorders/>
      </w:tblPr>
      <w:tcPr>
        <w:tcBorders>
          <w:top w:val="single" w:color="000000" w:themeColor="accent5" w:sz="4" w:space="0"/>
          <w:bottom w:val="single" w:color="000000" w:themeColor="accent5" w:sz="4" w:space="0"/>
        </w:tcBorders>
      </w:tcPr>
    </w:tblStylePr>
    <w:tblStylePr w:type="band1Vert">
      <w:rPr>
        <w:sz w:val="22"/>
      </w:rPr>
      <w:pPr>
        <w:pBdr/>
        <w:spacing/>
        <w:ind/>
      </w:pPr>
      <w:tblPr>
        <w:tblBorders/>
      </w:tblPr>
      <w:tcPr>
        <w:tcBorders>
          <w:left w:val="single" w:color="000000" w:themeColor="accent5" w:sz="4" w:space="0"/>
          <w:right w:val="single" w:color="000000"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fd544" w:themeFill="accent5"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2">
    <w:name w:val="List Table 3 - Accent 6"/>
    <w:basedOn w:val="1715"/>
    <w:uiPriority w:val="99"/>
    <w:pPr>
      <w:pBdr/>
      <w:spacing w:after="0" w:line="240" w:lineRule="auto"/>
      <w:ind/>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sz w:val="22"/>
      </w:rPr>
      <w:pPr>
        <w:pBdr/>
        <w:spacing/>
        <w:ind/>
      </w:pPr>
      <w:tblPr>
        <w:tblBorders/>
      </w:tblPr>
      <w:tcPr>
        <w:tcBorders>
          <w:top w:val="single" w:color="000000" w:themeColor="accent6" w:sz="4" w:space="0"/>
          <w:bottom w:val="single" w:color="000000" w:themeColor="accent6" w:sz="4" w:space="0"/>
        </w:tcBorders>
      </w:tcPr>
    </w:tblStylePr>
    <w:tblStylePr w:type="band1Vert">
      <w:rPr>
        <w:sz w:val="22"/>
      </w:rPr>
      <w:pPr>
        <w:pBdr/>
        <w:spacing/>
        <w:ind/>
      </w:pPr>
      <w:tblPr>
        <w:tblBorders/>
      </w:tblPr>
      <w:tcPr>
        <w:tcBorders>
          <w:left w:val="single" w:color="000000" w:themeColor="accent6" w:sz="4" w:space="0"/>
          <w:right w:val="single" w:color="000000"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e9706e" w:themeFill="accent6"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3">
    <w:name w:val="List Table 4"/>
    <w:basedOn w:val="1715"/>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sz w:val="22"/>
      </w:rPr>
      <w:pPr>
        <w:pBdr/>
        <w:spacing/>
        <w:ind/>
      </w:pPr>
      <w:tblPr>
        <w:tblBorders/>
      </w:tblPr>
      <w:tcPr>
        <w:shd w:val="clear" w:color="ffffff" w:fill="bfbfbf" w:themeFill="text1" w:themeFillTint="40"/>
        <w:tcBorders/>
      </w:tcPr>
    </w:tblStylePr>
    <w:tblStylePr w:type="band1Vert">
      <w:rPr>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4">
    <w:name w:val="List Table 4 - Accent 1"/>
    <w:basedOn w:val="1715"/>
    <w:uiPriority w:val="9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sz w:val="22"/>
      </w:rPr>
      <w:pPr>
        <w:pBdr/>
        <w:spacing/>
        <w:ind/>
      </w:pPr>
      <w:tblPr>
        <w:tblBorders/>
      </w:tblPr>
      <w:tcPr>
        <w:shd w:val="clear" w:color="ffffff" w:fill="b5fdaa" w:themeFill="accent1" w:themeFillTint="40"/>
        <w:tcBorders/>
      </w:tcPr>
    </w:tblStylePr>
    <w:tblStylePr w:type="band1Vert">
      <w:rPr>
        <w:sz w:val="22"/>
      </w:rPr>
      <w:pPr>
        <w:pBdr/>
        <w:spacing/>
        <w:ind/>
      </w:pPr>
      <w:tblPr>
        <w:tblBorders/>
      </w:tblPr>
      <w:tcPr>
        <w:shd w:val="clear" w:color="ffffff" w:fill="b5fdaa"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18a303"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5">
    <w:name w:val="List Table 4 - Accent 2"/>
    <w:basedOn w:val="1715"/>
    <w:uiPriority w:val="9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sz w:val="22"/>
      </w:rPr>
      <w:pPr>
        <w:pBdr/>
        <w:spacing/>
        <w:ind/>
      </w:pPr>
      <w:tblPr>
        <w:tblBorders/>
      </w:tblPr>
      <w:tcPr>
        <w:shd w:val="clear" w:color="ffffff" w:fill="aadffd" w:themeFill="accent2" w:themeFillTint="40"/>
        <w:tcBorders/>
      </w:tcPr>
    </w:tblStylePr>
    <w:tblStylePr w:type="band1Vert">
      <w:rPr>
        <w:sz w:val="22"/>
      </w:rPr>
      <w:pPr>
        <w:pBdr/>
        <w:spacing/>
        <w:ind/>
      </w:pPr>
      <w:tblPr>
        <w:tblBorders/>
      </w:tblPr>
      <w:tcPr>
        <w:shd w:val="clear" w:color="ffffff" w:fill="aadffd"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369a3" w:themeFill="accent2"/>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6">
    <w:name w:val="List Table 4 - Accent 3"/>
    <w:basedOn w:val="1715"/>
    <w:uiPriority w:val="9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sz w:val="22"/>
      </w:rPr>
      <w:pPr>
        <w:pBdr/>
        <w:spacing/>
        <w:ind/>
      </w:pPr>
      <w:tblPr>
        <w:tblBorders/>
      </w:tblPr>
      <w:tcPr>
        <w:shd w:val="clear" w:color="ffffff" w:fill="fdc9aa" w:themeFill="accent3" w:themeFillTint="40"/>
        <w:tcBorders/>
      </w:tcPr>
    </w:tblStylePr>
    <w:tblStylePr w:type="band1Vert">
      <w:rPr>
        <w:sz w:val="22"/>
      </w:rPr>
      <w:pPr>
        <w:pBdr/>
        <w:spacing/>
        <w:ind/>
      </w:pPr>
      <w:tblPr>
        <w:tblBorders/>
      </w:tblPr>
      <w:tcPr>
        <w:shd w:val="clear" w:color="ffffff" w:fill="fdc9a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a33e03" w:themeFill="accent3"/>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7">
    <w:name w:val="List Table 4 - Accent 4"/>
    <w:basedOn w:val="1715"/>
    <w:uiPriority w:val="9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sz w:val="22"/>
      </w:rPr>
      <w:pPr>
        <w:pBdr/>
        <w:spacing/>
        <w:ind/>
      </w:pPr>
      <w:tblPr>
        <w:tblBorders/>
      </w:tblPr>
      <w:tcPr>
        <w:shd w:val="clear" w:color="ffffff" w:fill="f3aafd" w:themeFill="accent4" w:themeFillTint="40"/>
        <w:tcBorders/>
      </w:tcPr>
    </w:tblStylePr>
    <w:tblStylePr w:type="band1Vert">
      <w:rPr>
        <w:sz w:val="22"/>
      </w:rPr>
      <w:pPr>
        <w:pBdr/>
        <w:spacing/>
        <w:ind/>
      </w:pPr>
      <w:tblPr>
        <w:tblBorders/>
      </w:tblPr>
      <w:tcPr>
        <w:shd w:val="clear" w:color="ffffff" w:fill="f3aafd"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8e03a3" w:themeFill="accent4"/>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8">
    <w:name w:val="List Table 4 - Accent 5"/>
    <w:basedOn w:val="1715"/>
    <w:uiPriority w:val="9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sz w:val="22"/>
      </w:rPr>
      <w:pPr>
        <w:pBdr/>
        <w:spacing/>
        <w:ind/>
      </w:pPr>
      <w:tblPr>
        <w:tblBorders/>
      </w:tblPr>
      <w:tcPr>
        <w:shd w:val="clear" w:color="ffffff" w:fill="ffeeb1" w:themeFill="accent5" w:themeFillTint="40"/>
        <w:tcBorders/>
      </w:tcPr>
    </w:tblStylePr>
    <w:tblStylePr w:type="band1Vert">
      <w:rPr>
        <w:sz w:val="22"/>
      </w:rPr>
      <w:pPr>
        <w:pBdr/>
        <w:spacing/>
        <w:ind/>
      </w:pPr>
      <w:tblPr>
        <w:tblBorders/>
      </w:tblPr>
      <w:tcPr>
        <w:shd w:val="clear" w:color="ffffff" w:fill="ffeeb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c99c00" w:themeFill="accent5"/>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9">
    <w:name w:val="List Table 4 - Accent 6"/>
    <w:basedOn w:val="1715"/>
    <w:uiPriority w:val="9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sz w:val="22"/>
      </w:rPr>
      <w:pPr>
        <w:pBdr/>
        <w:spacing/>
        <w:ind/>
      </w:pPr>
      <w:tblPr>
        <w:tblBorders/>
      </w:tblPr>
      <w:tcPr>
        <w:shd w:val="clear" w:color="ffffff" w:fill="f6c3c2" w:themeFill="accent6" w:themeFillTint="40"/>
        <w:tcBorders/>
      </w:tcPr>
    </w:tblStylePr>
    <w:tblStylePr w:type="band1Vert">
      <w:rPr>
        <w:sz w:val="22"/>
      </w:rPr>
      <w:pPr>
        <w:pBdr/>
        <w:spacing/>
        <w:ind/>
      </w:pPr>
      <w:tblPr>
        <w:tblBorders/>
      </w:tblPr>
      <w:tcPr>
        <w:shd w:val="clear" w:color="ffffff" w:fill="f6c3c2"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c9211e" w:themeFill="accent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0">
    <w:name w:val="List Table 5 Dark"/>
    <w:basedOn w:val="1715"/>
    <w:uiPriority w:val="99"/>
    <w:pPr>
      <w:pBdr/>
      <w:spacing w:after="0" w:line="240" w:lineRule="auto"/>
      <w:ind/>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cBorders/>
    </w:tcPr>
    <w:tblStylePr w:type="band1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tex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7f7f7f" w:themeFill="text1" w:themeFillTint="80"/>
        <w:tcBorders>
          <w:top w:val="single" w:color="000000" w:themeColor="tex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1">
    <w:name w:val="List Table 5 Dark - Accent 1"/>
    <w:basedOn w:val="1715"/>
    <w:uiPriority w:val="99"/>
    <w:pPr>
      <w:pBdr/>
      <w:spacing w:after="0" w:line="240" w:lineRule="auto"/>
      <w:ind/>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cBorders/>
    </w:tcPr>
    <w:tblStylePr w:type="band1Horz">
      <w:pPr>
        <w:pBdr/>
        <w:spacing/>
        <w:ind/>
      </w:pPr>
      <w:tblPr>
        <w:tblBorders/>
      </w:tblPr>
      <w:tcPr>
        <w:shd w:val="clear" w:color="ffffff" w:fill="18a303"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18a303"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18a303"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18a303"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2">
    <w:name w:val="List Table 5 Dark - Accent 2"/>
    <w:basedOn w:val="1715"/>
    <w:uiPriority w:val="99"/>
    <w:pPr>
      <w:pBdr/>
      <w:spacing w:after="0" w:line="240" w:lineRule="auto"/>
      <w:ind/>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cBorders/>
    </w:tcPr>
    <w:tblStylePr w:type="band1Horz">
      <w:pPr>
        <w:pBdr/>
        <w:spacing/>
        <w:ind/>
      </w:pPr>
      <w:tblPr>
        <w:tblBorders/>
      </w:tblPr>
      <w:tcPr>
        <w:shd w:val="clear" w:color="ffffff" w:fill="37b4fb"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37b4fb"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37b4fb"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2"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37b4fb" w:themeFill="accent2" w:themeFillTint="97"/>
        <w:tcBorders>
          <w:top w:val="single" w:color="000000" w:themeColor="accent2"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3">
    <w:name w:val="List Table 5 Dark - Accent 3"/>
    <w:basedOn w:val="1715"/>
    <w:uiPriority w:val="99"/>
    <w:pPr>
      <w:pBdr/>
      <w:spacing w:after="0" w:line="240" w:lineRule="auto"/>
      <w:ind/>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cBorders/>
    </w:tcPr>
    <w:tblStylePr w:type="band1Horz">
      <w:pPr>
        <w:pBdr/>
        <w:spacing/>
        <w:ind/>
      </w:pPr>
      <w:tblPr>
        <w:tblBorders/>
      </w:tblPr>
      <w:tcPr>
        <w:shd w:val="clear" w:color="ffffff" w:fill="fb7f36"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b7f36"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b7f36"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3"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b7f36" w:themeFill="accent3" w:themeFillTint="98"/>
        <w:tcBorders>
          <w:top w:val="single" w:color="000000" w:themeColor="accent3"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4">
    <w:name w:val="List Table 5 Dark - Accent 4"/>
    <w:basedOn w:val="1715"/>
    <w:uiPriority w:val="99"/>
    <w:pPr>
      <w:pBdr/>
      <w:spacing w:after="0" w:line="240" w:lineRule="auto"/>
      <w:ind/>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cBorders/>
    </w:tcPr>
    <w:tblStylePr w:type="band1Horz">
      <w:pPr>
        <w:pBdr/>
        <w:spacing/>
        <w:ind/>
      </w:pPr>
      <w:tblPr>
        <w:tblBorders/>
      </w:tblPr>
      <w:tcPr>
        <w:shd w:val="clear" w:color="ffffff" w:fill="e133fb"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e133fb"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e133fb"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4"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e133fb" w:themeFill="accent4" w:themeFillTint="9A"/>
        <w:tcBorders>
          <w:top w:val="single" w:color="000000" w:themeColor="accent4"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5">
    <w:name w:val="List Table 5 Dark - Accent 5"/>
    <w:basedOn w:val="1715"/>
    <w:uiPriority w:val="99"/>
    <w:pPr>
      <w:pBdr/>
      <w:spacing w:after="0" w:line="240" w:lineRule="auto"/>
      <w:ind/>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cBorders/>
    </w:tcPr>
    <w:tblStylePr w:type="band1Horz">
      <w:pPr>
        <w:pBdr/>
        <w:spacing/>
        <w:ind/>
      </w:pPr>
      <w:tblPr>
        <w:tblBorders/>
      </w:tblPr>
      <w:tcPr>
        <w:shd w:val="clear" w:color="ffffff" w:fill="ffd544"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fd544"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fd544"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5"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fd544" w:themeFill="accent5" w:themeFillTint="9A"/>
        <w:tcBorders>
          <w:top w:val="single" w:color="000000" w:themeColor="accent5"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6">
    <w:name w:val="List Table 5 Dark - Accent 6"/>
    <w:basedOn w:val="1715"/>
    <w:uiPriority w:val="99"/>
    <w:pPr>
      <w:pBdr/>
      <w:spacing w:after="0" w:line="240" w:lineRule="auto"/>
      <w:ind/>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cBorders/>
    </w:tcPr>
    <w:tblStylePr w:type="band1Horz">
      <w:pPr>
        <w:pBdr/>
        <w:spacing/>
        <w:ind/>
      </w:pPr>
      <w:tblPr>
        <w:tblBorders/>
      </w:tblPr>
      <w:tcPr>
        <w:shd w:val="clear" w:color="ffffff" w:fill="e9706e"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e9706e"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e9706e"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6"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e9706e" w:themeFill="accent6" w:themeFillTint="98"/>
        <w:tcBorders>
          <w:top w:val="single" w:color="000000" w:themeColor="accent6"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1807">
    <w:name w:val="List Table 6 Colorful"/>
    <w:basedOn w:val="1715"/>
    <w:uiPriority w:val="99"/>
    <w:pPr>
      <w:pBdr/>
      <w:spacing w:after="0" w:line="240" w:lineRule="auto"/>
      <w:ind/>
    </w:pPr>
    <w:tblPr>
      <w:tblStyleRowBandSize w:val="1"/>
      <w:tblStyleColBandSize w:val="1"/>
      <w:tblBorders>
        <w:top w:val="single" w:color="000000" w:themeColor="text1" w:themeTint="80" w:sz="4" w:space="0"/>
        <w:bottom w:val="single" w:color="000000" w:themeColor="text1" w:themeTint="80" w:sz="4" w:space="0"/>
      </w:tblBorders>
    </w:tblPr>
    <w:tcPr>
      <w:tcBorders/>
    </w:tcPr>
    <w:tblStylePr w:type="band1Horz">
      <w:rPr>
        <w:color w:val="404040" w:themeColor="text1"/>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8">
    <w:name w:val="List Table 6 Colorful - Accent 1"/>
    <w:basedOn w:val="1715"/>
    <w:uiPriority w:val="99"/>
    <w:pPr>
      <w:pBdr/>
      <w:spacing w:after="0" w:line="240" w:lineRule="auto"/>
      <w:ind/>
    </w:pPr>
    <w:tblPr>
      <w:tblStyleRowBandSize w:val="1"/>
      <w:tblStyleColBandSize w:val="1"/>
      <w:tblBorders>
        <w:top w:val="single" w:color="000000" w:themeColor="accent1" w:sz="4" w:space="0"/>
        <w:bottom w:val="single" w:color="000000" w:themeColor="accent1" w:sz="4" w:space="0"/>
      </w:tblBorders>
    </w:tblPr>
    <w:tcPr>
      <w:tcBorders/>
    </w:tcPr>
    <w:tblStylePr w:type="band1Horz">
      <w:rPr>
        <w:color w:val="404040" w:themeColor="accent1" w:themeShade="95"/>
        <w:sz w:val="22"/>
      </w:rPr>
      <w:pPr>
        <w:pBdr/>
        <w:spacing/>
        <w:ind/>
      </w:pPr>
      <w:tblPr>
        <w:tblBorders/>
      </w:tblPr>
      <w:tcPr>
        <w:shd w:val="clear" w:color="ffffff" w:fill="b5fdaa" w:themeFill="accent1" w:themeFillTint="40"/>
        <w:tcBorders/>
      </w:tcPr>
    </w:tblStylePr>
    <w:tblStylePr w:type="band1Vert">
      <w:pPr>
        <w:pBdr/>
        <w:spacing/>
        <w:ind/>
      </w:pPr>
      <w:tblPr>
        <w:tblBorders/>
      </w:tblPr>
      <w:tcPr>
        <w:shd w:val="clear" w:color="ffffff" w:fill="b5fdaa" w:themeFill="accent1" w:themeFillTint="40"/>
        <w:tcBorders/>
      </w:tcPr>
    </w:tblStylePr>
    <w:tblStylePr w:type="band2Horz">
      <w:rPr>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e5f02" w:themeColor="accent1" w:themeShade="95"/>
      </w:rPr>
      <w:pPr>
        <w:pBdr/>
        <w:spacing/>
        <w:ind/>
      </w:pPr>
      <w:tblPr>
        <w:tblBorders/>
      </w:tblPr>
      <w:tcPr>
        <w:tcBorders/>
      </w:tcPr>
    </w:tblStylePr>
    <w:tblStylePr w:type="firstRow">
      <w:rPr>
        <w:b/>
        <w:color w:val="0e5f02" w:themeColor="accent1" w:themeShade="95"/>
      </w:rPr>
      <w:pPr>
        <w:pBdr/>
        <w:spacing/>
        <w:ind/>
      </w:pPr>
      <w:tblPr>
        <w:tblBorders/>
      </w:tblPr>
      <w:tcPr>
        <w:tcBorders>
          <w:bottom w:val="single" w:color="000000" w:themeColor="accent1" w:sz="4" w:space="0"/>
        </w:tcBorders>
      </w:tcPr>
    </w:tblStylePr>
    <w:tblStylePr w:type="lastCol">
      <w:rPr>
        <w:b/>
        <w:color w:val="0e5f02" w:themeColor="accent1" w:themeShade="95"/>
      </w:rPr>
      <w:pPr>
        <w:pBdr/>
        <w:spacing/>
        <w:ind/>
      </w:pPr>
      <w:tblPr>
        <w:tblBorders/>
      </w:tblPr>
      <w:tcPr>
        <w:tcBorders/>
      </w:tcPr>
    </w:tblStylePr>
    <w:tblStylePr w:type="lastRow">
      <w:rPr>
        <w:b/>
        <w:color w:val="0e5f0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9">
    <w:name w:val="List Table 6 Colorful - Accent 2"/>
    <w:basedOn w:val="1715"/>
    <w:uiPriority w:val="99"/>
    <w:pPr>
      <w:pBdr/>
      <w:spacing w:after="0" w:line="240" w:lineRule="auto"/>
      <w:ind/>
    </w:pPr>
    <w:tblPr>
      <w:tblStyleRowBandSize w:val="1"/>
      <w:tblStyleColBandSize w:val="1"/>
      <w:tblBorders>
        <w:top w:val="single" w:color="000000" w:themeColor="accent2" w:themeTint="97" w:sz="4" w:space="0"/>
        <w:bottom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aadffd" w:themeFill="accent2" w:themeFillTint="40"/>
        <w:tcBorders/>
      </w:tcPr>
    </w:tblStylePr>
    <w:tblStylePr w:type="band1Vert">
      <w:pPr>
        <w:pBdr/>
        <w:spacing/>
        <w:ind/>
      </w:pPr>
      <w:tblPr>
        <w:tblBorders/>
      </w:tblPr>
      <w:tcPr>
        <w:shd w:val="clear" w:color="ffffff" w:fill="aadffd" w:themeFill="accent2" w:themeFillTint="40"/>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371b0" w:themeColor="accent2" w:themeTint="97" w:themeShade="95"/>
      </w:rPr>
      <w:pPr>
        <w:pBdr/>
        <w:spacing/>
        <w:ind/>
      </w:pPr>
      <w:tblPr>
        <w:tblBorders/>
      </w:tblPr>
      <w:tcPr>
        <w:tcBorders/>
      </w:tcPr>
    </w:tblStylePr>
    <w:tblStylePr w:type="firstRow">
      <w:rPr>
        <w:b/>
        <w:color w:val="0371b0" w:themeColor="accent2" w:themeTint="97" w:themeShade="95"/>
      </w:rPr>
      <w:pPr>
        <w:pBdr/>
        <w:spacing/>
        <w:ind/>
      </w:pPr>
      <w:tblPr>
        <w:tblBorders/>
      </w:tblPr>
      <w:tcPr>
        <w:tcBorders>
          <w:bottom w:val="single" w:color="000000" w:themeColor="accent2" w:sz="4" w:space="0"/>
        </w:tcBorders>
      </w:tcPr>
    </w:tblStylePr>
    <w:tblStylePr w:type="lastCol">
      <w:rPr>
        <w:b/>
        <w:color w:val="0371b0" w:themeColor="accent2" w:themeTint="97" w:themeShade="95"/>
      </w:rPr>
      <w:pPr>
        <w:pBdr/>
        <w:spacing/>
        <w:ind/>
      </w:pPr>
      <w:tblPr>
        <w:tblBorders/>
      </w:tblPr>
      <w:tcPr>
        <w:tcBorders/>
      </w:tcPr>
    </w:tblStylePr>
    <w:tblStylePr w:type="lastRow">
      <w:rPr>
        <w:b/>
        <w:color w:val="0371b0" w:themeColor="accent2" w:themeTint="97" w:themeShade="95"/>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0">
    <w:name w:val="List Table 6 Colorful - Accent 3"/>
    <w:basedOn w:val="1715"/>
    <w:uiPriority w:val="99"/>
    <w:pPr>
      <w:pBdr/>
      <w:spacing w:after="0" w:line="240" w:lineRule="auto"/>
      <w:ind/>
    </w:pPr>
    <w:tblPr>
      <w:tblStyleRowBandSize w:val="1"/>
      <w:tblStyleColBandSize w:val="1"/>
      <w:tblBorders>
        <w:top w:val="single" w:color="000000" w:themeColor="accent3" w:themeTint="98" w:sz="4" w:space="0"/>
        <w:bottom w:val="single" w:color="000000" w:themeColor="accent3" w:themeTint="98" w:sz="4" w:space="0"/>
      </w:tblBorders>
    </w:tblPr>
    <w:tcPr>
      <w:tcBorders/>
    </w:tcPr>
    <w:tblStylePr w:type="band1Horz">
      <w:rPr>
        <w:color w:val="404040" w:themeColor="accent3" w:themeTint="98" w:themeShade="95"/>
        <w:sz w:val="22"/>
      </w:rPr>
      <w:pPr>
        <w:pBdr/>
        <w:spacing/>
        <w:ind/>
      </w:pPr>
      <w:tblPr>
        <w:tblBorders/>
      </w:tblPr>
      <w:tcPr>
        <w:shd w:val="clear" w:color="ffffff" w:fill="fdc9aa" w:themeFill="accent3" w:themeFillTint="40"/>
        <w:tcBorders/>
      </w:tcPr>
    </w:tblStylePr>
    <w:tblStylePr w:type="band1Vert">
      <w:pPr>
        <w:pBdr/>
        <w:spacing/>
        <w:ind/>
      </w:pPr>
      <w:tblPr>
        <w:tblBorders/>
      </w:tblPr>
      <w:tcPr>
        <w:shd w:val="clear" w:color="ffffff" w:fill="fdc9aa" w:themeFill="accent3" w:themeFillTint="40"/>
        <w:tcBorders/>
      </w:tcPr>
    </w:tblStylePr>
    <w:tblStylePr w:type="band2Horz">
      <w:rPr>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f4303" w:themeColor="accent3" w:themeTint="98" w:themeShade="95"/>
      </w:rPr>
      <w:pPr>
        <w:pBdr/>
        <w:spacing/>
        <w:ind/>
      </w:pPr>
      <w:tblPr>
        <w:tblBorders/>
      </w:tblPr>
      <w:tcPr>
        <w:tcBorders/>
      </w:tcPr>
    </w:tblStylePr>
    <w:tblStylePr w:type="firstRow">
      <w:rPr>
        <w:b/>
        <w:color w:val="af4303" w:themeColor="accent3" w:themeTint="98" w:themeShade="95"/>
      </w:rPr>
      <w:pPr>
        <w:pBdr/>
        <w:spacing/>
        <w:ind/>
      </w:pPr>
      <w:tblPr>
        <w:tblBorders/>
      </w:tblPr>
      <w:tcPr>
        <w:tcBorders>
          <w:bottom w:val="single" w:color="000000" w:themeColor="accent3" w:sz="4" w:space="0"/>
        </w:tcBorders>
      </w:tcPr>
    </w:tblStylePr>
    <w:tblStylePr w:type="lastCol">
      <w:rPr>
        <w:b/>
        <w:color w:val="af4303" w:themeColor="accent3" w:themeTint="98" w:themeShade="95"/>
      </w:rPr>
      <w:pPr>
        <w:pBdr/>
        <w:spacing/>
        <w:ind/>
      </w:pPr>
      <w:tblPr>
        <w:tblBorders/>
      </w:tblPr>
      <w:tcPr>
        <w:tcBorders/>
      </w:tcPr>
    </w:tblStylePr>
    <w:tblStylePr w:type="lastRow">
      <w:rPr>
        <w:b/>
        <w:color w:val="af4303" w:themeColor="accent3" w:themeTint="98" w:themeShade="95"/>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1">
    <w:name w:val="List Table 6 Colorful - Accent 4"/>
    <w:basedOn w:val="1715"/>
    <w:uiPriority w:val="99"/>
    <w:pPr>
      <w:pBdr/>
      <w:spacing w:after="0" w:line="240" w:lineRule="auto"/>
      <w:ind/>
    </w:pPr>
    <w:tblPr>
      <w:tblStyleRowBandSize w:val="1"/>
      <w:tblStyleColBandSize w:val="1"/>
      <w:tblBorders>
        <w:top w:val="single" w:color="000000" w:themeColor="accent4" w:themeTint="9A" w:sz="4" w:space="0"/>
        <w:bottom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3aafd" w:themeFill="accent4" w:themeFillTint="40"/>
        <w:tcBorders/>
      </w:tcPr>
    </w:tblStylePr>
    <w:tblStylePr w:type="band1Vert">
      <w:pPr>
        <w:pBdr/>
        <w:spacing/>
        <w:ind/>
      </w:pPr>
      <w:tblPr>
        <w:tblBorders/>
      </w:tblPr>
      <w:tcPr>
        <w:shd w:val="clear" w:color="ffffff" w:fill="f3aafd" w:themeFill="accent4" w:themeFillTint="40"/>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703ad" w:themeColor="accent4" w:themeTint="9A" w:themeShade="95"/>
      </w:rPr>
      <w:pPr>
        <w:pBdr/>
        <w:spacing/>
        <w:ind/>
      </w:pPr>
      <w:tblPr>
        <w:tblBorders/>
      </w:tblPr>
      <w:tcPr>
        <w:tcBorders/>
      </w:tcPr>
    </w:tblStylePr>
    <w:tblStylePr w:type="firstRow">
      <w:rPr>
        <w:b/>
        <w:color w:val="9703ad" w:themeColor="accent4" w:themeTint="9A" w:themeShade="95"/>
      </w:rPr>
      <w:pPr>
        <w:pBdr/>
        <w:spacing/>
        <w:ind/>
      </w:pPr>
      <w:tblPr>
        <w:tblBorders/>
      </w:tblPr>
      <w:tcPr>
        <w:tcBorders>
          <w:bottom w:val="single" w:color="000000" w:themeColor="accent4" w:sz="4" w:space="0"/>
        </w:tcBorders>
      </w:tcPr>
    </w:tblStylePr>
    <w:tblStylePr w:type="lastCol">
      <w:rPr>
        <w:b/>
        <w:color w:val="9703ad" w:themeColor="accent4" w:themeTint="9A" w:themeShade="95"/>
      </w:rPr>
      <w:pPr>
        <w:pBdr/>
        <w:spacing/>
        <w:ind/>
      </w:pPr>
      <w:tblPr>
        <w:tblBorders/>
      </w:tblPr>
      <w:tcPr>
        <w:tcBorders/>
      </w:tcPr>
    </w:tblStylePr>
    <w:tblStylePr w:type="lastRow">
      <w:rPr>
        <w:b/>
        <w:color w:val="9703ad" w:themeColor="accent4" w:themeTint="9A" w:themeShade="95"/>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2">
    <w:name w:val="List Table 6 Colorful - Accent 5"/>
    <w:basedOn w:val="1715"/>
    <w:uiPriority w:val="99"/>
    <w:pPr>
      <w:pBdr/>
      <w:spacing w:after="0" w:line="240" w:lineRule="auto"/>
      <w:ind/>
    </w:pPr>
    <w:tblPr>
      <w:tblStyleRowBandSize w:val="1"/>
      <w:tblStyleColBandSize w:val="1"/>
      <w:tblBorders>
        <w:top w:val="single" w:color="000000" w:themeColor="accent5" w:themeTint="9A" w:sz="4" w:space="0"/>
        <w:bottom w:val="single" w:color="000000" w:themeColor="accent5" w:themeTint="9A" w:sz="4" w:space="0"/>
      </w:tblBorders>
    </w:tblPr>
    <w:tcPr>
      <w:tcBorders/>
    </w:tcPr>
    <w:tblStylePr w:type="band1Horz">
      <w:rPr>
        <w:color w:val="404040" w:themeColor="accent5" w:themeTint="9A" w:themeShade="95"/>
        <w:sz w:val="22"/>
      </w:rPr>
      <w:pPr>
        <w:pBdr/>
        <w:spacing/>
        <w:ind/>
      </w:pPr>
      <w:tblPr>
        <w:tblBorders/>
      </w:tblPr>
      <w:tcPr>
        <w:shd w:val="clear" w:color="ffffff" w:fill="ffeeb1" w:themeFill="accent5" w:themeFillTint="40"/>
        <w:tcBorders/>
      </w:tcPr>
    </w:tblStylePr>
    <w:tblStylePr w:type="band1Vert">
      <w:pPr>
        <w:pBdr/>
        <w:spacing/>
        <w:ind/>
      </w:pPr>
      <w:tblPr>
        <w:tblBorders/>
      </w:tblPr>
      <w:tcPr>
        <w:shd w:val="clear" w:color="ffffff" w:fill="ffeeb1" w:themeFill="accent5" w:themeFillTint="40"/>
        <w:tcBorders/>
      </w:tcPr>
    </w:tblStylePr>
    <w:tblStylePr w:type="band2Horz">
      <w:rPr>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d9300" w:themeColor="accent5" w:themeTint="9A" w:themeShade="95"/>
      </w:rPr>
      <w:pPr>
        <w:pBdr/>
        <w:spacing/>
        <w:ind/>
      </w:pPr>
      <w:tblPr>
        <w:tblBorders/>
      </w:tblPr>
      <w:tcPr>
        <w:tcBorders/>
      </w:tcPr>
    </w:tblStylePr>
    <w:tblStylePr w:type="firstRow">
      <w:rPr>
        <w:b/>
        <w:color w:val="bd9300" w:themeColor="accent5" w:themeTint="9A" w:themeShade="95"/>
      </w:rPr>
      <w:pPr>
        <w:pBdr/>
        <w:spacing/>
        <w:ind/>
      </w:pPr>
      <w:tblPr>
        <w:tblBorders/>
      </w:tblPr>
      <w:tcPr>
        <w:tcBorders>
          <w:bottom w:val="single" w:color="000000" w:themeColor="accent5" w:sz="4" w:space="0"/>
        </w:tcBorders>
      </w:tcPr>
    </w:tblStylePr>
    <w:tblStylePr w:type="lastCol">
      <w:rPr>
        <w:b/>
        <w:color w:val="bd9300" w:themeColor="accent5" w:themeTint="9A" w:themeShade="95"/>
      </w:rPr>
      <w:pPr>
        <w:pBdr/>
        <w:spacing/>
        <w:ind/>
      </w:pPr>
      <w:tblPr>
        <w:tblBorders/>
      </w:tblPr>
      <w:tcPr>
        <w:tcBorders/>
      </w:tcPr>
    </w:tblStylePr>
    <w:tblStylePr w:type="lastRow">
      <w:rPr>
        <w:b/>
        <w:color w:val="bd9300" w:themeColor="accent5" w:themeTint="9A" w:themeShade="95"/>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3">
    <w:name w:val="List Table 6 Colorful - Accent 6"/>
    <w:basedOn w:val="1715"/>
    <w:uiPriority w:val="99"/>
    <w:pPr>
      <w:pBdr/>
      <w:spacing w:after="0" w:line="240" w:lineRule="auto"/>
      <w:ind/>
    </w:pPr>
    <w:tblPr>
      <w:tblStyleRowBandSize w:val="1"/>
      <w:tblStyleColBandSize w:val="1"/>
      <w:tblBorders>
        <w:top w:val="single" w:color="000000" w:themeColor="accent6" w:themeTint="98" w:sz="4" w:space="0"/>
        <w:bottom w:val="single" w:color="000000" w:themeColor="accent6" w:themeTint="98" w:sz="4" w:space="0"/>
      </w:tblBorders>
    </w:tblPr>
    <w:tcPr>
      <w:tcBorders/>
    </w:tcPr>
    <w:tblStylePr w:type="band1Horz">
      <w:rPr>
        <w:color w:val="404040" w:themeColor="accent6" w:themeTint="98" w:themeShade="95"/>
        <w:sz w:val="22"/>
      </w:rPr>
      <w:pPr>
        <w:pBdr/>
        <w:spacing/>
        <w:ind/>
      </w:pPr>
      <w:tblPr>
        <w:tblBorders/>
      </w:tblPr>
      <w:tcPr>
        <w:shd w:val="clear" w:color="ffffff" w:fill="f6c3c2" w:themeFill="accent6" w:themeFillTint="40"/>
        <w:tcBorders/>
      </w:tcPr>
    </w:tblStylePr>
    <w:tblStylePr w:type="band1Vert">
      <w:pPr>
        <w:pBdr/>
        <w:spacing/>
        <w:ind/>
      </w:pPr>
      <w:tblPr>
        <w:tblBorders/>
      </w:tblPr>
      <w:tcPr>
        <w:shd w:val="clear" w:color="ffffff" w:fill="f6c3c2" w:themeFill="accent6" w:themeFillTint="40"/>
        <w:tcBorders/>
      </w:tcPr>
    </w:tblStylePr>
    <w:tblStylePr w:type="band2Horz">
      <w:rPr>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f1d1a" w:themeColor="accent6" w:themeTint="98" w:themeShade="95"/>
      </w:rPr>
      <w:pPr>
        <w:pBdr/>
        <w:spacing/>
        <w:ind/>
      </w:pPr>
      <w:tblPr>
        <w:tblBorders/>
      </w:tblPr>
      <w:tcPr>
        <w:tcBorders/>
      </w:tcPr>
    </w:tblStylePr>
    <w:tblStylePr w:type="firstRow">
      <w:rPr>
        <w:b/>
        <w:color w:val="af1d1a" w:themeColor="accent6" w:themeTint="98" w:themeShade="95"/>
      </w:rPr>
      <w:pPr>
        <w:pBdr/>
        <w:spacing/>
        <w:ind/>
      </w:pPr>
      <w:tblPr>
        <w:tblBorders/>
      </w:tblPr>
      <w:tcPr>
        <w:tcBorders>
          <w:bottom w:val="single" w:color="000000" w:themeColor="accent6" w:sz="4" w:space="0"/>
        </w:tcBorders>
      </w:tcPr>
    </w:tblStylePr>
    <w:tblStylePr w:type="lastCol">
      <w:rPr>
        <w:b/>
        <w:color w:val="af1d1a" w:themeColor="accent6" w:themeTint="98" w:themeShade="95"/>
      </w:rPr>
      <w:pPr>
        <w:pBdr/>
        <w:spacing/>
        <w:ind/>
      </w:pPr>
      <w:tblPr>
        <w:tblBorders/>
      </w:tblPr>
      <w:tcPr>
        <w:tcBorders/>
      </w:tcPr>
    </w:tblStylePr>
    <w:tblStylePr w:type="lastRow">
      <w:rPr>
        <w:b/>
        <w:color w:val="af1d1a" w:themeColor="accent6" w:themeTint="98" w:themeShade="95"/>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4">
    <w:name w:val="List Table 7 Colorful"/>
    <w:basedOn w:val="1715"/>
    <w:uiPriority w:val="99"/>
    <w:pPr>
      <w:pBdr/>
      <w:spacing w:after="0" w:line="240" w:lineRule="auto"/>
      <w:ind/>
    </w:pPr>
    <w:tblPr>
      <w:tblStyleRowBandSize w:val="1"/>
      <w:tblStyleColBandSize w:val="1"/>
      <w:tblBorders>
        <w:right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a4a4a" w:themeColor="text1" w:themeTint="80" w:themeShade="95"/>
        <w:sz w:val="22"/>
      </w:rPr>
      <w:pPr>
        <w:pBdr/>
        <w:spacing/>
        <w:ind/>
      </w:pPr>
      <w:tblPr>
        <w:tblBorders/>
      </w:tblPr>
      <w:tcPr>
        <w:tcBorders/>
      </w:tcPr>
    </w:tblStylePr>
  </w:style>
  <w:style w:type="table" w:styleId="1815">
    <w:name w:val="List Table 7 Colorful - Accent 1"/>
    <w:basedOn w:val="1715"/>
    <w:uiPriority w:val="99"/>
    <w:pPr>
      <w:pBdr/>
      <w:spacing w:after="0" w:line="240" w:lineRule="auto"/>
      <w:ind/>
    </w:pPr>
    <w:tblPr>
      <w:tblStyleRowBandSize w:val="1"/>
      <w:tblStyleColBandSize w:val="1"/>
      <w:tblBorders>
        <w:right w:val="single" w:color="000000" w:themeColor="accent1" w:sz="4" w:space="0"/>
      </w:tblBorders>
    </w:tblPr>
    <w:tcPr>
      <w:tcBorders/>
    </w:tcPr>
    <w:tblStylePr w:type="band1Horz">
      <w:rPr>
        <w:color w:val="0e5f02" w:themeColor="accent1" w:themeShade="95"/>
        <w:sz w:val="22"/>
      </w:rPr>
      <w:pPr>
        <w:pBdr/>
        <w:spacing/>
        <w:ind/>
      </w:pPr>
      <w:tblPr>
        <w:tblBorders/>
      </w:tblPr>
      <w:tcPr>
        <w:shd w:val="clear" w:color="ffffff" w:fill="b5fdaa" w:themeFill="accent1" w:themeFillTint="40"/>
        <w:tcBorders/>
      </w:tcPr>
    </w:tblStylePr>
    <w:tblStylePr w:type="band1Vert">
      <w:pPr>
        <w:pBdr/>
        <w:spacing/>
        <w:ind/>
      </w:pPr>
      <w:tblPr>
        <w:tblBorders/>
      </w:tblPr>
      <w:tcPr>
        <w:shd w:val="clear" w:color="ffffff" w:fill="b5fdaa" w:themeFill="accent1" w:themeFillTint="40"/>
        <w:tcBorders/>
      </w:tcPr>
    </w:tblStylePr>
    <w:tblStylePr w:type="band2Horz">
      <w:rPr>
        <w:color w:val="0e5f0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0e5f0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0e5f02" w:themeColor="accent1"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0e5f0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0e5f02" w:themeColor="accent1"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0e5f02" w:themeColor="accent1" w:themeShade="95"/>
        <w:sz w:val="22"/>
      </w:rPr>
      <w:pPr>
        <w:pBdr/>
        <w:spacing/>
        <w:ind/>
      </w:pPr>
      <w:tblPr>
        <w:tblBorders/>
      </w:tblPr>
      <w:tcPr>
        <w:tcBorders/>
      </w:tcPr>
    </w:tblStylePr>
  </w:style>
  <w:style w:type="table" w:styleId="1816">
    <w:name w:val="List Table 7 Colorful - Accent 2"/>
    <w:basedOn w:val="1715"/>
    <w:uiPriority w:val="99"/>
    <w:pPr>
      <w:pBdr/>
      <w:spacing w:after="0" w:line="240" w:lineRule="auto"/>
      <w:ind/>
    </w:pPr>
    <w:tblPr>
      <w:tblStyleRowBandSize w:val="1"/>
      <w:tblStyleColBandSize w:val="1"/>
      <w:tblBorders>
        <w:right w:val="single" w:color="000000" w:themeColor="accent2" w:themeTint="97" w:sz="4" w:space="0"/>
      </w:tblBorders>
    </w:tblPr>
    <w:tcPr>
      <w:tcBorders/>
    </w:tcPr>
    <w:tblStylePr w:type="band1Horz">
      <w:rPr>
        <w:color w:val="0371b0" w:themeColor="accent2" w:themeTint="97" w:themeShade="95"/>
        <w:sz w:val="22"/>
      </w:rPr>
      <w:pPr>
        <w:pBdr/>
        <w:spacing/>
        <w:ind/>
      </w:pPr>
      <w:tblPr>
        <w:tblBorders/>
      </w:tblPr>
      <w:tcPr>
        <w:shd w:val="clear" w:color="ffffff" w:fill="aadffd" w:themeFill="accent2" w:themeFillTint="40"/>
        <w:tcBorders/>
      </w:tcPr>
    </w:tblStylePr>
    <w:tblStylePr w:type="band1Vert">
      <w:pPr>
        <w:pBdr/>
        <w:spacing/>
        <w:ind/>
      </w:pPr>
      <w:tblPr>
        <w:tblBorders/>
      </w:tblPr>
      <w:tcPr>
        <w:shd w:val="clear" w:color="ffffff" w:fill="aadffd" w:themeFill="accent2" w:themeFillTint="40"/>
        <w:tcBorders/>
      </w:tcPr>
    </w:tblStylePr>
    <w:tblStylePr w:type="band2Horz">
      <w:rPr>
        <w:color w:val="0371b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0371b0"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0371b0"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0371b0"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0371b0"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0371b0" w:themeColor="accent2" w:themeTint="97" w:themeShade="95"/>
        <w:sz w:val="22"/>
      </w:rPr>
      <w:pPr>
        <w:pBdr/>
        <w:spacing/>
        <w:ind/>
      </w:pPr>
      <w:tblPr>
        <w:tblBorders/>
      </w:tblPr>
      <w:tcPr>
        <w:tcBorders/>
      </w:tcPr>
    </w:tblStylePr>
  </w:style>
  <w:style w:type="table" w:styleId="1817">
    <w:name w:val="List Table 7 Colorful - Accent 3"/>
    <w:basedOn w:val="1715"/>
    <w:uiPriority w:val="99"/>
    <w:pPr>
      <w:pBdr/>
      <w:spacing w:after="0" w:line="240" w:lineRule="auto"/>
      <w:ind/>
    </w:pPr>
    <w:tblPr>
      <w:tblStyleRowBandSize w:val="1"/>
      <w:tblStyleColBandSize w:val="1"/>
      <w:tblBorders>
        <w:right w:val="single" w:color="000000" w:themeColor="accent3" w:themeTint="98" w:sz="4" w:space="0"/>
      </w:tblBorders>
    </w:tblPr>
    <w:tcPr>
      <w:tcBorders/>
    </w:tcPr>
    <w:tblStylePr w:type="band1Horz">
      <w:rPr>
        <w:color w:val="af4303" w:themeColor="accent3" w:themeTint="98" w:themeShade="95"/>
        <w:sz w:val="22"/>
      </w:rPr>
      <w:pPr>
        <w:pBdr/>
        <w:spacing/>
        <w:ind/>
      </w:pPr>
      <w:tblPr>
        <w:tblBorders/>
      </w:tblPr>
      <w:tcPr>
        <w:shd w:val="clear" w:color="ffffff" w:fill="fdc9aa" w:themeFill="accent3" w:themeFillTint="40"/>
        <w:tcBorders/>
      </w:tcPr>
    </w:tblStylePr>
    <w:tblStylePr w:type="band1Vert">
      <w:pPr>
        <w:pBdr/>
        <w:spacing/>
        <w:ind/>
      </w:pPr>
      <w:tblPr>
        <w:tblBorders/>
      </w:tblPr>
      <w:tcPr>
        <w:shd w:val="clear" w:color="ffffff" w:fill="fdc9aa" w:themeFill="accent3" w:themeFillTint="40"/>
        <w:tcBorders/>
      </w:tcPr>
    </w:tblStylePr>
    <w:tblStylePr w:type="band2Horz">
      <w:rPr>
        <w:color w:val="af430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af4303"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af4303" w:themeColor="accent3"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af4303" w:themeColor="accent3" w:themeTint="98"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af4303" w:themeColor="accent3" w:themeTint="98"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af4303" w:themeColor="accent3" w:themeTint="98" w:themeShade="95"/>
        <w:sz w:val="22"/>
      </w:rPr>
      <w:pPr>
        <w:pBdr/>
        <w:spacing/>
        <w:ind/>
      </w:pPr>
      <w:tblPr>
        <w:tblBorders/>
      </w:tblPr>
      <w:tcPr>
        <w:tcBorders/>
      </w:tcPr>
    </w:tblStylePr>
  </w:style>
  <w:style w:type="table" w:styleId="1818">
    <w:name w:val="List Table 7 Colorful - Accent 4"/>
    <w:basedOn w:val="1715"/>
    <w:uiPriority w:val="99"/>
    <w:pPr>
      <w:pBdr/>
      <w:spacing w:after="0" w:line="240" w:lineRule="auto"/>
      <w:ind/>
    </w:pPr>
    <w:tblPr>
      <w:tblStyleRowBandSize w:val="1"/>
      <w:tblStyleColBandSize w:val="1"/>
      <w:tblBorders>
        <w:right w:val="single" w:color="000000" w:themeColor="accent4" w:themeTint="9A" w:sz="4" w:space="0"/>
      </w:tblBorders>
    </w:tblPr>
    <w:tcPr>
      <w:tcBorders/>
    </w:tcPr>
    <w:tblStylePr w:type="band1Horz">
      <w:rPr>
        <w:color w:val="9703ad" w:themeColor="accent4" w:themeTint="9A" w:themeShade="95"/>
        <w:sz w:val="22"/>
      </w:rPr>
      <w:pPr>
        <w:pBdr/>
        <w:spacing/>
        <w:ind/>
      </w:pPr>
      <w:tblPr>
        <w:tblBorders/>
      </w:tblPr>
      <w:tcPr>
        <w:shd w:val="clear" w:color="ffffff" w:fill="f3aafd" w:themeFill="accent4" w:themeFillTint="40"/>
        <w:tcBorders/>
      </w:tcPr>
    </w:tblStylePr>
    <w:tblStylePr w:type="band1Vert">
      <w:pPr>
        <w:pBdr/>
        <w:spacing/>
        <w:ind/>
      </w:pPr>
      <w:tblPr>
        <w:tblBorders/>
      </w:tblPr>
      <w:tcPr>
        <w:shd w:val="clear" w:color="ffffff" w:fill="f3aafd" w:themeFill="accent4" w:themeFillTint="40"/>
        <w:tcBorders/>
      </w:tcPr>
    </w:tblStylePr>
    <w:tblStylePr w:type="band2Horz">
      <w:rPr>
        <w:color w:val="9703ad"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9703ad"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9703ad"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9703ad"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9703ad"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9703ad" w:themeColor="accent4" w:themeTint="9A" w:themeShade="95"/>
        <w:sz w:val="22"/>
      </w:rPr>
      <w:pPr>
        <w:pBdr/>
        <w:spacing/>
        <w:ind/>
      </w:pPr>
      <w:tblPr>
        <w:tblBorders/>
      </w:tblPr>
      <w:tcPr>
        <w:tcBorders/>
      </w:tcPr>
    </w:tblStylePr>
  </w:style>
  <w:style w:type="table" w:styleId="1819">
    <w:name w:val="List Table 7 Colorful - Accent 5"/>
    <w:basedOn w:val="1715"/>
    <w:uiPriority w:val="99"/>
    <w:pPr>
      <w:pBdr/>
      <w:spacing w:after="0" w:line="240" w:lineRule="auto"/>
      <w:ind/>
    </w:pPr>
    <w:tblPr>
      <w:tblStyleRowBandSize w:val="1"/>
      <w:tblStyleColBandSize w:val="1"/>
      <w:tblBorders>
        <w:right w:val="single" w:color="000000" w:themeColor="accent5" w:themeTint="9A" w:sz="4" w:space="0"/>
      </w:tblBorders>
    </w:tblPr>
    <w:tcPr>
      <w:tcBorders/>
    </w:tcPr>
    <w:tblStylePr w:type="band1Horz">
      <w:rPr>
        <w:color w:val="bd9300" w:themeColor="accent5" w:themeTint="9A" w:themeShade="95"/>
        <w:sz w:val="22"/>
      </w:rPr>
      <w:pPr>
        <w:pBdr/>
        <w:spacing/>
        <w:ind/>
      </w:pPr>
      <w:tblPr>
        <w:tblBorders/>
      </w:tblPr>
      <w:tcPr>
        <w:shd w:val="clear" w:color="ffffff" w:fill="ffeeb1" w:themeFill="accent5" w:themeFillTint="40"/>
        <w:tcBorders/>
      </w:tcPr>
    </w:tblStylePr>
    <w:tblStylePr w:type="band1Vert">
      <w:pPr>
        <w:pBdr/>
        <w:spacing/>
        <w:ind/>
      </w:pPr>
      <w:tblPr>
        <w:tblBorders/>
      </w:tblPr>
      <w:tcPr>
        <w:shd w:val="clear" w:color="ffffff" w:fill="ffeeb1" w:themeFill="accent5" w:themeFillTint="40"/>
        <w:tcBorders/>
      </w:tcPr>
    </w:tblStylePr>
    <w:tblStylePr w:type="band2Horz">
      <w:rPr>
        <w:color w:val="bd930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bd930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bd9300" w:themeColor="accent5"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bd9300" w:themeColor="accent5" w:themeTint="9A"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bd9300" w:themeColor="accent5" w:themeTint="9A"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bd9300" w:themeColor="accent5" w:themeTint="9A" w:themeShade="95"/>
        <w:sz w:val="22"/>
      </w:rPr>
      <w:pPr>
        <w:pBdr/>
        <w:spacing/>
        <w:ind/>
      </w:pPr>
      <w:tblPr>
        <w:tblBorders/>
      </w:tblPr>
      <w:tcPr>
        <w:tcBorders/>
      </w:tcPr>
    </w:tblStylePr>
  </w:style>
  <w:style w:type="table" w:styleId="1820">
    <w:name w:val="List Table 7 Colorful - Accent 6"/>
    <w:basedOn w:val="1715"/>
    <w:uiPriority w:val="99"/>
    <w:pPr>
      <w:pBdr/>
      <w:spacing w:after="0" w:line="240" w:lineRule="auto"/>
      <w:ind/>
    </w:pPr>
    <w:tblPr>
      <w:tblStyleRowBandSize w:val="1"/>
      <w:tblStyleColBandSize w:val="1"/>
      <w:tblBorders>
        <w:right w:val="single" w:color="000000" w:themeColor="accent6" w:themeTint="98" w:sz="4" w:space="0"/>
      </w:tblBorders>
    </w:tblPr>
    <w:tcPr>
      <w:tcBorders/>
    </w:tcPr>
    <w:tblStylePr w:type="band1Horz">
      <w:rPr>
        <w:color w:val="af1d1a" w:themeColor="accent6" w:themeTint="98" w:themeShade="95"/>
        <w:sz w:val="22"/>
      </w:rPr>
      <w:pPr>
        <w:pBdr/>
        <w:spacing/>
        <w:ind/>
      </w:pPr>
      <w:tblPr>
        <w:tblBorders/>
      </w:tblPr>
      <w:tcPr>
        <w:shd w:val="clear" w:color="ffffff" w:fill="f6c3c2" w:themeFill="accent6" w:themeFillTint="40"/>
        <w:tcBorders/>
      </w:tcPr>
    </w:tblStylePr>
    <w:tblStylePr w:type="band1Vert">
      <w:pPr>
        <w:pBdr/>
        <w:spacing/>
        <w:ind/>
      </w:pPr>
      <w:tblPr>
        <w:tblBorders/>
      </w:tblPr>
      <w:tcPr>
        <w:shd w:val="clear" w:color="ffffff" w:fill="f6c3c2" w:themeFill="accent6" w:themeFillTint="40"/>
        <w:tcBorders/>
      </w:tcPr>
    </w:tblStylePr>
    <w:tblStylePr w:type="band2Horz">
      <w:rPr>
        <w:color w:val="af1d1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af1d1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af1d1a" w:themeColor="accent6"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af1d1a" w:themeColor="accent6" w:themeTint="98"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af1d1a" w:themeColor="accent6" w:themeTint="98"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af1d1a" w:themeColor="accent6" w:themeTint="98" w:themeShade="95"/>
        <w:sz w:val="22"/>
      </w:rPr>
      <w:pPr>
        <w:pBdr/>
        <w:spacing/>
        <w:ind/>
      </w:pPr>
      <w:tblPr>
        <w:tblBorders/>
      </w:tblPr>
      <w:tcPr>
        <w:tcBorders/>
      </w:tcPr>
    </w:tblStylePr>
  </w:style>
  <w:style w:type="table" w:styleId="1821">
    <w:name w:val="Lined - Accent"/>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2f2f2" w:themeFill="text1" w:themeFillTint="00"/>
        <w:tcBorders/>
      </w:tcPr>
    </w:tblStylePr>
    <w:tblStylePr w:type="band2Vert">
      <w:rPr>
        <w:sz w:val="22"/>
      </w:rPr>
      <w:pPr>
        <w:pBdr/>
        <w:spacing/>
        <w:ind/>
      </w:pPr>
      <w:tblPr>
        <w:tblBorders/>
      </w:tblPr>
      <w:tcPr>
        <w:shd w:val="clear" w:color="ffffff" w:fill="f2f2f2" w:themeFill="text1" w:themeFillTint="00"/>
        <w:tcBorders/>
      </w:tcPr>
    </w:tblStylePr>
    <w:tblStylePr w:type="firstCol">
      <w:rPr>
        <w:sz w:val="22"/>
      </w:rPr>
      <w:pPr>
        <w:pBdr/>
        <w:spacing/>
        <w:ind/>
      </w:pPr>
      <w:tblPr>
        <w:tblBorders/>
      </w:tblPr>
      <w:tcPr>
        <w:shd w:val="clear" w:color="ffffff" w:fill="7f7f7f" w:themeFill="text1" w:themeFillTint="80"/>
        <w:tcBorders/>
      </w:tcPr>
    </w:tblStylePr>
    <w:tblStylePr w:type="firstRow">
      <w:rPr>
        <w:sz w:val="22"/>
      </w:rPr>
      <w:pPr>
        <w:pBdr/>
        <w:spacing/>
        <w:ind/>
      </w:pPr>
      <w:tblPr>
        <w:tblBorders/>
      </w:tblPr>
      <w:tcPr>
        <w:shd w:val="clear" w:color="ffffff" w:fill="7f7f7f" w:themeFill="text1" w:themeFillTint="80"/>
        <w:tcBorders/>
      </w:tcPr>
    </w:tblStylePr>
    <w:tblStylePr w:type="lastCol">
      <w:rPr>
        <w:sz w:val="22"/>
      </w:rPr>
      <w:pPr>
        <w:pBdr/>
        <w:spacing/>
        <w:ind/>
      </w:pPr>
      <w:tblPr>
        <w:tblBorders/>
      </w:tblPr>
      <w:tcPr>
        <w:shd w:val="clear" w:color="ffffff" w:fill="7f7f7f" w:themeFill="text1" w:themeFillTint="80"/>
        <w:tcBorders/>
      </w:tcPr>
    </w:tblStylePr>
    <w:tblStylePr w:type="lastRow">
      <w:rPr>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2">
    <w:name w:val="Lined - Accent 1"/>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a3fd95" w:themeFill="accent1" w:themeFillTint="50"/>
        <w:tcBorders/>
      </w:tcPr>
    </w:tblStylePr>
    <w:tblStylePr w:type="band2Vert">
      <w:rPr>
        <w:sz w:val="22"/>
      </w:rPr>
      <w:pPr>
        <w:pBdr/>
        <w:spacing/>
        <w:ind/>
      </w:pPr>
      <w:tblPr>
        <w:tblBorders/>
      </w:tblPr>
      <w:tcPr>
        <w:shd w:val="clear" w:color="ffffff" w:fill="a3fd95" w:themeFill="accent1" w:themeFillTint="50"/>
        <w:tcBorders/>
      </w:tcPr>
    </w:tblStylePr>
    <w:tblStylePr w:type="firstCol">
      <w:rPr>
        <w:sz w:val="22"/>
      </w:rPr>
      <w:pPr>
        <w:pBdr/>
        <w:spacing/>
        <w:ind/>
      </w:pPr>
      <w:tblPr>
        <w:tblBorders/>
      </w:tblPr>
      <w:tcPr>
        <w:shd w:val="clear" w:color="ffffff" w:fill="1cbf04" w:themeFill="accent1" w:themeFillTint="EA"/>
        <w:tcBorders/>
      </w:tcPr>
    </w:tblStylePr>
    <w:tblStylePr w:type="firstRow">
      <w:rPr>
        <w:sz w:val="22"/>
      </w:rPr>
      <w:pPr>
        <w:pBdr/>
        <w:spacing/>
        <w:ind/>
      </w:pPr>
      <w:tblPr>
        <w:tblBorders/>
      </w:tblPr>
      <w:tcPr>
        <w:shd w:val="clear" w:color="ffffff" w:fill="1cbf04" w:themeFill="accent1" w:themeFillTint="EA"/>
        <w:tcBorders/>
      </w:tcPr>
    </w:tblStylePr>
    <w:tblStylePr w:type="lastCol">
      <w:rPr>
        <w:sz w:val="22"/>
      </w:rPr>
      <w:pPr>
        <w:pBdr/>
        <w:spacing/>
        <w:ind/>
      </w:pPr>
      <w:tblPr>
        <w:tblBorders/>
      </w:tblPr>
      <w:tcPr>
        <w:shd w:val="clear" w:color="ffffff" w:fill="1cbf04" w:themeFill="accent1" w:themeFillTint="EA"/>
        <w:tcBorders/>
      </w:tcPr>
    </w:tblStylePr>
    <w:tblStylePr w:type="lastRow">
      <w:rPr>
        <w:sz w:val="22"/>
      </w:rPr>
      <w:pPr>
        <w:pBdr/>
        <w:spacing/>
        <w:ind/>
      </w:pPr>
      <w:tblPr>
        <w:tblBorders/>
      </w:tblPr>
      <w:tcPr>
        <w:shd w:val="clear" w:color="ffffff" w:fill="1cbf04"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3">
    <w:name w:val="Lined - Accent 2"/>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bde6fe" w:themeFill="accent2" w:themeFillTint="32"/>
        <w:tcBorders/>
      </w:tcPr>
    </w:tblStylePr>
    <w:tblStylePr w:type="band2Vert">
      <w:rPr>
        <w:sz w:val="22"/>
      </w:rPr>
      <w:pPr>
        <w:pBdr/>
        <w:spacing/>
        <w:ind/>
      </w:pPr>
      <w:tblPr>
        <w:tblBorders/>
      </w:tblPr>
      <w:tcPr>
        <w:shd w:val="clear" w:color="ffffff" w:fill="bde6fe" w:themeFill="accent2" w:themeFillTint="32"/>
        <w:tcBorders/>
      </w:tcPr>
    </w:tblStylePr>
    <w:tblStylePr w:type="firstCol">
      <w:rPr>
        <w:sz w:val="22"/>
      </w:rPr>
      <w:pPr>
        <w:pBdr/>
        <w:spacing/>
        <w:ind/>
      </w:pPr>
      <w:tblPr>
        <w:tblBorders/>
      </w:tblPr>
      <w:tcPr>
        <w:shd w:val="clear" w:color="ffffff" w:fill="37b4fb" w:themeFill="accent2" w:themeFillTint="97"/>
        <w:tcBorders/>
      </w:tcPr>
    </w:tblStylePr>
    <w:tblStylePr w:type="firstRow">
      <w:rPr>
        <w:sz w:val="22"/>
      </w:rPr>
      <w:pPr>
        <w:pBdr/>
        <w:spacing/>
        <w:ind/>
      </w:pPr>
      <w:tblPr>
        <w:tblBorders/>
      </w:tblPr>
      <w:tcPr>
        <w:shd w:val="clear" w:color="ffffff" w:fill="37b4fb" w:themeFill="accent2" w:themeFillTint="97"/>
        <w:tcBorders/>
      </w:tcPr>
    </w:tblStylePr>
    <w:tblStylePr w:type="lastCol">
      <w:rPr>
        <w:sz w:val="22"/>
      </w:rPr>
      <w:pPr>
        <w:pBdr/>
        <w:spacing/>
        <w:ind/>
      </w:pPr>
      <w:tblPr>
        <w:tblBorders/>
      </w:tblPr>
      <w:tcPr>
        <w:shd w:val="clear" w:color="ffffff" w:fill="37b4fb" w:themeFill="accent2" w:themeFillTint="97"/>
        <w:tcBorders/>
      </w:tcPr>
    </w:tblStylePr>
    <w:tblStylePr w:type="lastRow">
      <w:rPr>
        <w:sz w:val="22"/>
      </w:rPr>
      <w:pPr>
        <w:pBdr/>
        <w:spacing/>
        <w:ind/>
      </w:pPr>
      <w:tblPr>
        <w:tblBorders/>
      </w:tblPr>
      <w:tcPr>
        <w:shd w:val="clear" w:color="ffffff" w:fill="37b4fb"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4">
    <w:name w:val="Lined - Accent 3"/>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ed3ba" w:themeFill="accent3" w:themeFillTint="34"/>
        <w:tcBorders/>
      </w:tcPr>
    </w:tblStylePr>
    <w:tblStylePr w:type="band2Vert">
      <w:rPr>
        <w:sz w:val="22"/>
      </w:rPr>
      <w:pPr>
        <w:pBdr/>
        <w:spacing/>
        <w:ind/>
      </w:pPr>
      <w:tblPr>
        <w:tblBorders/>
      </w:tblPr>
      <w:tcPr>
        <w:shd w:val="clear" w:color="ffffff" w:fill="fed3ba" w:themeFill="accent3" w:themeFillTint="34"/>
        <w:tcBorders/>
      </w:tcPr>
    </w:tblStylePr>
    <w:tblStylePr w:type="firstCol">
      <w:rPr>
        <w:sz w:val="22"/>
      </w:rPr>
      <w:pPr>
        <w:pBdr/>
        <w:spacing/>
        <w:ind/>
      </w:pPr>
      <w:tblPr>
        <w:tblBorders/>
      </w:tblPr>
      <w:tcPr>
        <w:shd w:val="clear" w:color="ffffff" w:fill="a43f03" w:themeFill="accent3" w:themeFillTint="FE"/>
        <w:tcBorders/>
      </w:tcPr>
    </w:tblStylePr>
    <w:tblStylePr w:type="firstRow">
      <w:rPr>
        <w:sz w:val="22"/>
      </w:rPr>
      <w:pPr>
        <w:pBdr/>
        <w:spacing/>
        <w:ind/>
      </w:pPr>
      <w:tblPr>
        <w:tblBorders/>
      </w:tblPr>
      <w:tcPr>
        <w:shd w:val="clear" w:color="ffffff" w:fill="a43f03" w:themeFill="accent3" w:themeFillTint="FE"/>
        <w:tcBorders/>
      </w:tcPr>
    </w:tblStylePr>
    <w:tblStylePr w:type="lastCol">
      <w:rPr>
        <w:sz w:val="22"/>
      </w:rPr>
      <w:pPr>
        <w:pBdr/>
        <w:spacing/>
        <w:ind/>
      </w:pPr>
      <w:tblPr>
        <w:tblBorders/>
      </w:tblPr>
      <w:tcPr>
        <w:shd w:val="clear" w:color="ffffff" w:fill="a43f03" w:themeFill="accent3" w:themeFillTint="FE"/>
        <w:tcBorders/>
      </w:tcPr>
    </w:tblStylePr>
    <w:tblStylePr w:type="lastRow">
      <w:rPr>
        <w:sz w:val="22"/>
      </w:rPr>
      <w:pPr>
        <w:pBdr/>
        <w:spacing/>
        <w:ind/>
      </w:pPr>
      <w:tblPr>
        <w:tblBorders/>
      </w:tblPr>
      <w:tcPr>
        <w:shd w:val="clear" w:color="ffffff" w:fill="a43f03"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5">
    <w:name w:val="Lined - Accent 4"/>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5bafe" w:themeFill="accent4" w:themeFillTint="34"/>
        <w:tcBorders/>
      </w:tcPr>
    </w:tblStylePr>
    <w:tblStylePr w:type="band2Vert">
      <w:rPr>
        <w:sz w:val="22"/>
      </w:rPr>
      <w:pPr>
        <w:pBdr/>
        <w:spacing/>
        <w:ind/>
      </w:pPr>
      <w:tblPr>
        <w:tblBorders/>
      </w:tblPr>
      <w:tcPr>
        <w:shd w:val="clear" w:color="ffffff" w:fill="f5bafe" w:themeFill="accent4" w:themeFillTint="34"/>
        <w:tcBorders/>
      </w:tcPr>
    </w:tblStylePr>
    <w:tblStylePr w:type="firstCol">
      <w:rPr>
        <w:sz w:val="22"/>
      </w:rPr>
      <w:pPr>
        <w:pBdr/>
        <w:spacing/>
        <w:ind/>
      </w:pPr>
      <w:tblPr>
        <w:tblBorders/>
      </w:tblPr>
      <w:tcPr>
        <w:shd w:val="clear" w:color="ffffff" w:fill="e133fb" w:themeFill="accent4" w:themeFillTint="9A"/>
        <w:tcBorders/>
      </w:tcPr>
    </w:tblStylePr>
    <w:tblStylePr w:type="firstRow">
      <w:rPr>
        <w:sz w:val="22"/>
      </w:rPr>
      <w:pPr>
        <w:pBdr/>
        <w:spacing/>
        <w:ind/>
      </w:pPr>
      <w:tblPr>
        <w:tblBorders/>
      </w:tblPr>
      <w:tcPr>
        <w:shd w:val="clear" w:color="ffffff" w:fill="e133fb" w:themeFill="accent4" w:themeFillTint="9A"/>
        <w:tcBorders/>
      </w:tcPr>
    </w:tblStylePr>
    <w:tblStylePr w:type="lastCol">
      <w:rPr>
        <w:sz w:val="22"/>
      </w:rPr>
      <w:pPr>
        <w:pBdr/>
        <w:spacing/>
        <w:ind/>
      </w:pPr>
      <w:tblPr>
        <w:tblBorders/>
      </w:tblPr>
      <w:tcPr>
        <w:shd w:val="clear" w:color="ffffff" w:fill="e133fb" w:themeFill="accent4" w:themeFillTint="9A"/>
        <w:tcBorders/>
      </w:tcPr>
    </w:tblStylePr>
    <w:tblStylePr w:type="lastRow">
      <w:rPr>
        <w:sz w:val="22"/>
      </w:rPr>
      <w:pPr>
        <w:pBdr/>
        <w:spacing/>
        <w:ind/>
      </w:pPr>
      <w:tblPr>
        <w:tblBorders/>
      </w:tblPr>
      <w:tcPr>
        <w:shd w:val="clear" w:color="ffffff" w:fill="e133fb"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6">
    <w:name w:val="Lined - Accent 5"/>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ff1c0" w:themeFill="accent5" w:themeFillTint="34"/>
        <w:tcBorders/>
      </w:tcPr>
    </w:tblStylePr>
    <w:tblStylePr w:type="band2Vert">
      <w:rPr>
        <w:sz w:val="22"/>
      </w:rPr>
      <w:pPr>
        <w:pBdr/>
        <w:spacing/>
        <w:ind/>
      </w:pPr>
      <w:tblPr>
        <w:tblBorders/>
      </w:tblPr>
      <w:tcPr>
        <w:shd w:val="clear" w:color="ffffff" w:fill="fff1c0" w:themeFill="accent5" w:themeFillTint="34"/>
        <w:tcBorders/>
      </w:tcPr>
    </w:tblStylePr>
    <w:tblStylePr w:type="firstCol">
      <w:rPr>
        <w:sz w:val="22"/>
      </w:rPr>
      <w:pPr>
        <w:pBdr/>
        <w:spacing/>
        <w:ind/>
      </w:pPr>
      <w:tblPr>
        <w:tblBorders/>
      </w:tblPr>
      <w:tcPr>
        <w:shd w:val="clear" w:color="ffffff" w:fill="c99c00" w:themeFill="accent5"/>
        <w:tcBorders/>
      </w:tcPr>
    </w:tblStylePr>
    <w:tblStylePr w:type="firstRow">
      <w:rPr>
        <w:sz w:val="22"/>
      </w:rPr>
      <w:pPr>
        <w:pBdr/>
        <w:spacing/>
        <w:ind/>
      </w:pPr>
      <w:tblPr>
        <w:tblBorders/>
      </w:tblPr>
      <w:tcPr>
        <w:shd w:val="clear" w:color="ffffff" w:fill="c99c00" w:themeFill="accent5"/>
        <w:tcBorders/>
      </w:tcPr>
    </w:tblStylePr>
    <w:tblStylePr w:type="lastCol">
      <w:rPr>
        <w:sz w:val="22"/>
      </w:rPr>
      <w:pPr>
        <w:pBdr/>
        <w:spacing/>
        <w:ind/>
      </w:pPr>
      <w:tblPr>
        <w:tblBorders/>
      </w:tblPr>
      <w:tcPr>
        <w:shd w:val="clear" w:color="ffffff" w:fill="c99c00" w:themeFill="accent5"/>
        <w:tcBorders/>
      </w:tcPr>
    </w:tblStylePr>
    <w:tblStylePr w:type="lastRow">
      <w:rPr>
        <w:sz w:val="22"/>
      </w:rPr>
      <w:pPr>
        <w:pBdr/>
        <w:spacing/>
        <w:ind/>
      </w:pPr>
      <w:tblPr>
        <w:tblBorders/>
      </w:tblPr>
      <w:tcPr>
        <w:shd w:val="clear" w:color="ffffff" w:fill="c99c00"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7">
    <w:name w:val="Lined - Accent 6"/>
    <w:basedOn w:val="1715"/>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8cecd" w:themeFill="accent6" w:themeFillTint="34"/>
        <w:tcBorders/>
      </w:tcPr>
    </w:tblStylePr>
    <w:tblStylePr w:type="band2Vert">
      <w:rPr>
        <w:sz w:val="22"/>
      </w:rPr>
      <w:pPr>
        <w:pBdr/>
        <w:spacing/>
        <w:ind/>
      </w:pPr>
      <w:tblPr>
        <w:tblBorders/>
      </w:tblPr>
      <w:tcPr>
        <w:shd w:val="clear" w:color="ffffff" w:fill="f8cecd" w:themeFill="accent6" w:themeFillTint="34"/>
        <w:tcBorders/>
      </w:tcPr>
    </w:tblStylePr>
    <w:tblStylePr w:type="firstCol">
      <w:rPr>
        <w:sz w:val="22"/>
      </w:rPr>
      <w:pPr>
        <w:pBdr/>
        <w:spacing/>
        <w:ind/>
      </w:pPr>
      <w:tblPr>
        <w:tblBorders/>
      </w:tblPr>
      <w:tcPr>
        <w:shd w:val="clear" w:color="ffffff" w:fill="c9211e" w:themeFill="accent6"/>
        <w:tcBorders/>
      </w:tcPr>
    </w:tblStylePr>
    <w:tblStylePr w:type="firstRow">
      <w:rPr>
        <w:sz w:val="22"/>
      </w:rPr>
      <w:pPr>
        <w:pBdr/>
        <w:spacing/>
        <w:ind/>
      </w:pPr>
      <w:tblPr>
        <w:tblBorders/>
      </w:tblPr>
      <w:tcPr>
        <w:shd w:val="clear" w:color="ffffff" w:fill="c9211e" w:themeFill="accent6"/>
        <w:tcBorders/>
      </w:tcPr>
    </w:tblStylePr>
    <w:tblStylePr w:type="lastCol">
      <w:rPr>
        <w:sz w:val="22"/>
      </w:rPr>
      <w:pPr>
        <w:pBdr/>
        <w:spacing/>
        <w:ind/>
      </w:pPr>
      <w:tblPr>
        <w:tblBorders/>
      </w:tblPr>
      <w:tcPr>
        <w:shd w:val="clear" w:color="ffffff" w:fill="c9211e" w:themeFill="accent6"/>
        <w:tcBorders/>
      </w:tcPr>
    </w:tblStylePr>
    <w:tblStylePr w:type="lastRow">
      <w:rPr>
        <w:sz w:val="22"/>
      </w:rPr>
      <w:pPr>
        <w:pBdr/>
        <w:spacing/>
        <w:ind/>
      </w:pPr>
      <w:tblPr>
        <w:tblBorders/>
      </w:tblPr>
      <w:tcPr>
        <w:shd w:val="clear" w:color="ffffff" w:fill="c9211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8">
    <w:name w:val="Bordered &amp; Lined - Accent"/>
    <w:basedOn w:val="1715"/>
    <w:uiPriority w:val="99"/>
    <w:pPr>
      <w:pBdr/>
      <w:spacing w:after="0" w:line="240" w:lineRule="auto"/>
      <w:ind/>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2f2f2" w:themeFill="text1" w:themeFillTint="00"/>
        <w:tcBorders/>
      </w:tcPr>
    </w:tblStylePr>
    <w:tblStylePr w:type="band2Vert">
      <w:rPr>
        <w:sz w:val="22"/>
      </w:rPr>
      <w:pPr>
        <w:pBdr/>
        <w:spacing/>
        <w:ind/>
      </w:pPr>
      <w:tblPr>
        <w:tblBorders/>
      </w:tblPr>
      <w:tcPr>
        <w:shd w:val="clear" w:color="ffffff" w:fill="f2f2f2" w:themeFill="text1" w:themeFillTint="00"/>
        <w:tcBorders/>
      </w:tcPr>
    </w:tblStylePr>
    <w:tblStylePr w:type="firstCol">
      <w:rPr>
        <w:sz w:val="22"/>
      </w:rPr>
      <w:pPr>
        <w:pBdr/>
        <w:spacing/>
        <w:ind/>
      </w:pPr>
      <w:tblPr>
        <w:tblBorders/>
      </w:tblPr>
      <w:tcPr>
        <w:shd w:val="clear" w:color="ffffff" w:fill="7f7f7f" w:themeFill="text1" w:themeFillTint="80"/>
        <w:tcBorders/>
      </w:tcPr>
    </w:tblStylePr>
    <w:tblStylePr w:type="firstRow">
      <w:rPr>
        <w:sz w:val="22"/>
      </w:rPr>
      <w:pPr>
        <w:pBdr/>
        <w:spacing/>
        <w:ind/>
      </w:pPr>
      <w:tblPr>
        <w:tblBorders/>
      </w:tblPr>
      <w:tcPr>
        <w:shd w:val="clear" w:color="ffffff" w:fill="7f7f7f" w:themeFill="text1" w:themeFillTint="80"/>
        <w:tcBorders/>
      </w:tcPr>
    </w:tblStylePr>
    <w:tblStylePr w:type="lastCol">
      <w:rPr>
        <w:sz w:val="22"/>
      </w:rPr>
      <w:pPr>
        <w:pBdr/>
        <w:spacing/>
        <w:ind/>
      </w:pPr>
      <w:tblPr>
        <w:tblBorders/>
      </w:tblPr>
      <w:tcPr>
        <w:shd w:val="clear" w:color="ffffff" w:fill="7f7f7f" w:themeFill="text1" w:themeFillTint="80"/>
        <w:tcBorders/>
      </w:tcPr>
    </w:tblStylePr>
    <w:tblStylePr w:type="lastRow">
      <w:rPr>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9">
    <w:name w:val="Bordered &amp; Lined - Accent 1"/>
    <w:basedOn w:val="1715"/>
    <w:uiPriority w:val="99"/>
    <w:pPr>
      <w:pBdr/>
      <w:spacing w:after="0" w:line="240" w:lineRule="auto"/>
      <w:ind/>
    </w:pPr>
    <w:tblPr>
      <w:tblStyleRowBandSize w:val="1"/>
      <w:tblStyleColBandSize w:val="1"/>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a3fd95" w:themeFill="accent1" w:themeFillTint="50"/>
        <w:tcBorders/>
      </w:tcPr>
    </w:tblStylePr>
    <w:tblStylePr w:type="band2Vert">
      <w:rPr>
        <w:sz w:val="22"/>
      </w:rPr>
      <w:pPr>
        <w:pBdr/>
        <w:spacing/>
        <w:ind/>
      </w:pPr>
      <w:tblPr>
        <w:tblBorders/>
      </w:tblPr>
      <w:tcPr>
        <w:shd w:val="clear" w:color="ffffff" w:fill="a3fd95" w:themeFill="accent1" w:themeFillTint="50"/>
        <w:tcBorders/>
      </w:tcPr>
    </w:tblStylePr>
    <w:tblStylePr w:type="firstCol">
      <w:rPr>
        <w:sz w:val="22"/>
      </w:rPr>
      <w:pPr>
        <w:pBdr/>
        <w:spacing/>
        <w:ind/>
      </w:pPr>
      <w:tblPr>
        <w:tblBorders/>
      </w:tblPr>
      <w:tcPr>
        <w:shd w:val="clear" w:color="ffffff" w:fill="1cbf04" w:themeFill="accent1" w:themeFillTint="EA"/>
        <w:tcBorders/>
      </w:tcPr>
    </w:tblStylePr>
    <w:tblStylePr w:type="firstRow">
      <w:rPr>
        <w:sz w:val="22"/>
      </w:rPr>
      <w:pPr>
        <w:pBdr/>
        <w:spacing/>
        <w:ind/>
      </w:pPr>
      <w:tblPr>
        <w:tblBorders/>
      </w:tblPr>
      <w:tcPr>
        <w:shd w:val="clear" w:color="ffffff" w:fill="1cbf04" w:themeFill="accent1" w:themeFillTint="EA"/>
        <w:tcBorders/>
      </w:tcPr>
    </w:tblStylePr>
    <w:tblStylePr w:type="lastCol">
      <w:rPr>
        <w:sz w:val="22"/>
      </w:rPr>
      <w:pPr>
        <w:pBdr/>
        <w:spacing/>
        <w:ind/>
      </w:pPr>
      <w:tblPr>
        <w:tblBorders/>
      </w:tblPr>
      <w:tcPr>
        <w:shd w:val="clear" w:color="ffffff" w:fill="1cbf04" w:themeFill="accent1" w:themeFillTint="EA"/>
        <w:tcBorders/>
      </w:tcPr>
    </w:tblStylePr>
    <w:tblStylePr w:type="lastRow">
      <w:rPr>
        <w:sz w:val="22"/>
      </w:rPr>
      <w:pPr>
        <w:pBdr/>
        <w:spacing/>
        <w:ind/>
      </w:pPr>
      <w:tblPr>
        <w:tblBorders/>
      </w:tblPr>
      <w:tcPr>
        <w:shd w:val="clear" w:color="ffffff" w:fill="1cbf04"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0">
    <w:name w:val="Bordered &amp; Lined - Accent 2"/>
    <w:basedOn w:val="1715"/>
    <w:uiPriority w:val="99"/>
    <w:pPr>
      <w:pBdr/>
      <w:spacing w:after="0" w:line="240" w:lineRule="auto"/>
      <w:ind/>
    </w:pPr>
    <w:tblPr>
      <w:tblStyleRowBandSize w:val="1"/>
      <w:tblStyleColBandSize w:val="1"/>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bde6fe" w:themeFill="accent2" w:themeFillTint="32"/>
        <w:tcBorders/>
      </w:tcPr>
    </w:tblStylePr>
    <w:tblStylePr w:type="band2Vert">
      <w:rPr>
        <w:sz w:val="22"/>
      </w:rPr>
      <w:pPr>
        <w:pBdr/>
        <w:spacing/>
        <w:ind/>
      </w:pPr>
      <w:tblPr>
        <w:tblBorders/>
      </w:tblPr>
      <w:tcPr>
        <w:shd w:val="clear" w:color="ffffff" w:fill="bde6fe" w:themeFill="accent2" w:themeFillTint="32"/>
        <w:tcBorders/>
      </w:tcPr>
    </w:tblStylePr>
    <w:tblStylePr w:type="firstCol">
      <w:rPr>
        <w:sz w:val="22"/>
      </w:rPr>
      <w:pPr>
        <w:pBdr/>
        <w:spacing/>
        <w:ind/>
      </w:pPr>
      <w:tblPr>
        <w:tblBorders/>
      </w:tblPr>
      <w:tcPr>
        <w:shd w:val="clear" w:color="ffffff" w:fill="37b4fb" w:themeFill="accent2" w:themeFillTint="97"/>
        <w:tcBorders/>
      </w:tcPr>
    </w:tblStylePr>
    <w:tblStylePr w:type="firstRow">
      <w:rPr>
        <w:sz w:val="22"/>
      </w:rPr>
      <w:pPr>
        <w:pBdr/>
        <w:spacing/>
        <w:ind/>
      </w:pPr>
      <w:tblPr>
        <w:tblBorders/>
      </w:tblPr>
      <w:tcPr>
        <w:shd w:val="clear" w:color="ffffff" w:fill="37b4fb" w:themeFill="accent2" w:themeFillTint="97"/>
        <w:tcBorders/>
      </w:tcPr>
    </w:tblStylePr>
    <w:tblStylePr w:type="lastCol">
      <w:rPr>
        <w:sz w:val="22"/>
      </w:rPr>
      <w:pPr>
        <w:pBdr/>
        <w:spacing/>
        <w:ind/>
      </w:pPr>
      <w:tblPr>
        <w:tblBorders/>
      </w:tblPr>
      <w:tcPr>
        <w:shd w:val="clear" w:color="ffffff" w:fill="37b4fb" w:themeFill="accent2" w:themeFillTint="97"/>
        <w:tcBorders/>
      </w:tcPr>
    </w:tblStylePr>
    <w:tblStylePr w:type="lastRow">
      <w:rPr>
        <w:sz w:val="22"/>
      </w:rPr>
      <w:pPr>
        <w:pBdr/>
        <w:spacing/>
        <w:ind/>
      </w:pPr>
      <w:tblPr>
        <w:tblBorders/>
      </w:tblPr>
      <w:tcPr>
        <w:shd w:val="clear" w:color="ffffff" w:fill="37b4fb"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1">
    <w:name w:val="Bordered &amp; Lined - Accent 3"/>
    <w:basedOn w:val="1715"/>
    <w:uiPriority w:val="99"/>
    <w:pPr>
      <w:pBdr/>
      <w:spacing w:after="0" w:line="240" w:lineRule="auto"/>
      <w:ind/>
    </w:pPr>
    <w:tblPr>
      <w:tblStyleRowBandSize w:val="1"/>
      <w:tblStyleColBandSize w:val="1"/>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ed3ba" w:themeFill="accent3" w:themeFillTint="34"/>
        <w:tcBorders/>
      </w:tcPr>
    </w:tblStylePr>
    <w:tblStylePr w:type="band2Vert">
      <w:rPr>
        <w:sz w:val="22"/>
      </w:rPr>
      <w:pPr>
        <w:pBdr/>
        <w:spacing/>
        <w:ind/>
      </w:pPr>
      <w:tblPr>
        <w:tblBorders/>
      </w:tblPr>
      <w:tcPr>
        <w:shd w:val="clear" w:color="ffffff" w:fill="fed3ba" w:themeFill="accent3" w:themeFillTint="34"/>
        <w:tcBorders/>
      </w:tcPr>
    </w:tblStylePr>
    <w:tblStylePr w:type="firstCol">
      <w:rPr>
        <w:sz w:val="22"/>
      </w:rPr>
      <w:pPr>
        <w:pBdr/>
        <w:spacing/>
        <w:ind/>
      </w:pPr>
      <w:tblPr>
        <w:tblBorders/>
      </w:tblPr>
      <w:tcPr>
        <w:shd w:val="clear" w:color="ffffff" w:fill="a43f03" w:themeFill="accent3" w:themeFillTint="FE"/>
        <w:tcBorders/>
      </w:tcPr>
    </w:tblStylePr>
    <w:tblStylePr w:type="firstRow">
      <w:rPr>
        <w:sz w:val="22"/>
      </w:rPr>
      <w:pPr>
        <w:pBdr/>
        <w:spacing/>
        <w:ind/>
      </w:pPr>
      <w:tblPr>
        <w:tblBorders/>
      </w:tblPr>
      <w:tcPr>
        <w:shd w:val="clear" w:color="ffffff" w:fill="a43f03" w:themeFill="accent3" w:themeFillTint="FE"/>
        <w:tcBorders/>
      </w:tcPr>
    </w:tblStylePr>
    <w:tblStylePr w:type="lastCol">
      <w:rPr>
        <w:sz w:val="22"/>
      </w:rPr>
      <w:pPr>
        <w:pBdr/>
        <w:spacing/>
        <w:ind/>
      </w:pPr>
      <w:tblPr>
        <w:tblBorders/>
      </w:tblPr>
      <w:tcPr>
        <w:shd w:val="clear" w:color="ffffff" w:fill="a43f03" w:themeFill="accent3" w:themeFillTint="FE"/>
        <w:tcBorders/>
      </w:tcPr>
    </w:tblStylePr>
    <w:tblStylePr w:type="lastRow">
      <w:rPr>
        <w:sz w:val="22"/>
      </w:rPr>
      <w:pPr>
        <w:pBdr/>
        <w:spacing/>
        <w:ind/>
      </w:pPr>
      <w:tblPr>
        <w:tblBorders/>
      </w:tblPr>
      <w:tcPr>
        <w:shd w:val="clear" w:color="ffffff" w:fill="a43f03"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2">
    <w:name w:val="Bordered &amp; Lined - Accent 4"/>
    <w:basedOn w:val="1715"/>
    <w:uiPriority w:val="99"/>
    <w:pPr>
      <w:pBdr/>
      <w:spacing w:after="0" w:line="240" w:lineRule="auto"/>
      <w:ind/>
    </w:pPr>
    <w:tblPr>
      <w:tblStyleRowBandSize w:val="1"/>
      <w:tblStyleColBandSize w:val="1"/>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5bafe" w:themeFill="accent4" w:themeFillTint="34"/>
        <w:tcBorders/>
      </w:tcPr>
    </w:tblStylePr>
    <w:tblStylePr w:type="band2Vert">
      <w:rPr>
        <w:sz w:val="22"/>
      </w:rPr>
      <w:pPr>
        <w:pBdr/>
        <w:spacing/>
        <w:ind/>
      </w:pPr>
      <w:tblPr>
        <w:tblBorders/>
      </w:tblPr>
      <w:tcPr>
        <w:shd w:val="clear" w:color="ffffff" w:fill="f5bafe" w:themeFill="accent4" w:themeFillTint="34"/>
        <w:tcBorders/>
      </w:tcPr>
    </w:tblStylePr>
    <w:tblStylePr w:type="firstCol">
      <w:rPr>
        <w:sz w:val="22"/>
      </w:rPr>
      <w:pPr>
        <w:pBdr/>
        <w:spacing/>
        <w:ind/>
      </w:pPr>
      <w:tblPr>
        <w:tblBorders/>
      </w:tblPr>
      <w:tcPr>
        <w:shd w:val="clear" w:color="ffffff" w:fill="e133fb" w:themeFill="accent4" w:themeFillTint="9A"/>
        <w:tcBorders/>
      </w:tcPr>
    </w:tblStylePr>
    <w:tblStylePr w:type="firstRow">
      <w:rPr>
        <w:sz w:val="22"/>
      </w:rPr>
      <w:pPr>
        <w:pBdr/>
        <w:spacing/>
        <w:ind/>
      </w:pPr>
      <w:tblPr>
        <w:tblBorders/>
      </w:tblPr>
      <w:tcPr>
        <w:shd w:val="clear" w:color="ffffff" w:fill="e133fb" w:themeFill="accent4" w:themeFillTint="9A"/>
        <w:tcBorders/>
      </w:tcPr>
    </w:tblStylePr>
    <w:tblStylePr w:type="lastCol">
      <w:rPr>
        <w:sz w:val="22"/>
      </w:rPr>
      <w:pPr>
        <w:pBdr/>
        <w:spacing/>
        <w:ind/>
      </w:pPr>
      <w:tblPr>
        <w:tblBorders/>
      </w:tblPr>
      <w:tcPr>
        <w:shd w:val="clear" w:color="ffffff" w:fill="e133fb" w:themeFill="accent4" w:themeFillTint="9A"/>
        <w:tcBorders/>
      </w:tcPr>
    </w:tblStylePr>
    <w:tblStylePr w:type="lastRow">
      <w:rPr>
        <w:sz w:val="22"/>
      </w:rPr>
      <w:pPr>
        <w:pBdr/>
        <w:spacing/>
        <w:ind/>
      </w:pPr>
      <w:tblPr>
        <w:tblBorders/>
      </w:tblPr>
      <w:tcPr>
        <w:shd w:val="clear" w:color="ffffff" w:fill="e133fb"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3">
    <w:name w:val="Bordered &amp; Lined - Accent 5"/>
    <w:basedOn w:val="1715"/>
    <w:uiPriority w:val="99"/>
    <w:pPr>
      <w:pBdr/>
      <w:spacing w:after="0" w:line="240" w:lineRule="auto"/>
      <w:ind/>
    </w:pPr>
    <w:tblPr>
      <w:tblStyleRowBandSize w:val="1"/>
      <w:tblStyleColBandSize w:val="1"/>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ff1c0" w:themeFill="accent5" w:themeFillTint="34"/>
        <w:tcBorders/>
      </w:tcPr>
    </w:tblStylePr>
    <w:tblStylePr w:type="band2Vert">
      <w:rPr>
        <w:sz w:val="22"/>
      </w:rPr>
      <w:pPr>
        <w:pBdr/>
        <w:spacing/>
        <w:ind/>
      </w:pPr>
      <w:tblPr>
        <w:tblBorders/>
      </w:tblPr>
      <w:tcPr>
        <w:shd w:val="clear" w:color="ffffff" w:fill="fff1c0" w:themeFill="accent5" w:themeFillTint="34"/>
        <w:tcBorders/>
      </w:tcPr>
    </w:tblStylePr>
    <w:tblStylePr w:type="firstCol">
      <w:rPr>
        <w:sz w:val="22"/>
      </w:rPr>
      <w:pPr>
        <w:pBdr/>
        <w:spacing/>
        <w:ind/>
      </w:pPr>
      <w:tblPr>
        <w:tblBorders/>
      </w:tblPr>
      <w:tcPr>
        <w:shd w:val="clear" w:color="ffffff" w:fill="c99c00" w:themeFill="accent5"/>
        <w:tcBorders/>
      </w:tcPr>
    </w:tblStylePr>
    <w:tblStylePr w:type="firstRow">
      <w:rPr>
        <w:sz w:val="22"/>
      </w:rPr>
      <w:pPr>
        <w:pBdr/>
        <w:spacing/>
        <w:ind/>
      </w:pPr>
      <w:tblPr>
        <w:tblBorders/>
      </w:tblPr>
      <w:tcPr>
        <w:shd w:val="clear" w:color="ffffff" w:fill="c99c00" w:themeFill="accent5"/>
        <w:tcBorders/>
      </w:tcPr>
    </w:tblStylePr>
    <w:tblStylePr w:type="lastCol">
      <w:rPr>
        <w:sz w:val="22"/>
      </w:rPr>
      <w:pPr>
        <w:pBdr/>
        <w:spacing/>
        <w:ind/>
      </w:pPr>
      <w:tblPr>
        <w:tblBorders/>
      </w:tblPr>
      <w:tcPr>
        <w:shd w:val="clear" w:color="ffffff" w:fill="c99c00" w:themeFill="accent5"/>
        <w:tcBorders/>
      </w:tcPr>
    </w:tblStylePr>
    <w:tblStylePr w:type="lastRow">
      <w:rPr>
        <w:sz w:val="22"/>
      </w:rPr>
      <w:pPr>
        <w:pBdr/>
        <w:spacing/>
        <w:ind/>
      </w:pPr>
      <w:tblPr>
        <w:tblBorders/>
      </w:tblPr>
      <w:tcPr>
        <w:shd w:val="clear" w:color="ffffff" w:fill="c99c00"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4">
    <w:name w:val="Bordered &amp; Lined - Accent 6"/>
    <w:basedOn w:val="1715"/>
    <w:uiPriority w:val="99"/>
    <w:pPr>
      <w:pBdr/>
      <w:spacing w:after="0" w:line="240" w:lineRule="auto"/>
      <w:ind/>
    </w:pPr>
    <w:tblPr>
      <w:tblStyleRowBandSize w:val="1"/>
      <w:tblStyleColBandSize w:val="1"/>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8cecd" w:themeFill="accent6" w:themeFillTint="34"/>
        <w:tcBorders/>
      </w:tcPr>
    </w:tblStylePr>
    <w:tblStylePr w:type="band2Vert">
      <w:rPr>
        <w:sz w:val="22"/>
      </w:rPr>
      <w:pPr>
        <w:pBdr/>
        <w:spacing/>
        <w:ind/>
      </w:pPr>
      <w:tblPr>
        <w:tblBorders/>
      </w:tblPr>
      <w:tcPr>
        <w:shd w:val="clear" w:color="ffffff" w:fill="f8cecd" w:themeFill="accent6" w:themeFillTint="34"/>
        <w:tcBorders/>
      </w:tcPr>
    </w:tblStylePr>
    <w:tblStylePr w:type="firstCol">
      <w:rPr>
        <w:sz w:val="22"/>
      </w:rPr>
      <w:pPr>
        <w:pBdr/>
        <w:spacing/>
        <w:ind/>
      </w:pPr>
      <w:tblPr>
        <w:tblBorders/>
      </w:tblPr>
      <w:tcPr>
        <w:shd w:val="clear" w:color="ffffff" w:fill="c9211e" w:themeFill="accent6"/>
        <w:tcBorders/>
      </w:tcPr>
    </w:tblStylePr>
    <w:tblStylePr w:type="firstRow">
      <w:rPr>
        <w:sz w:val="22"/>
      </w:rPr>
      <w:pPr>
        <w:pBdr/>
        <w:spacing/>
        <w:ind/>
      </w:pPr>
      <w:tblPr>
        <w:tblBorders/>
      </w:tblPr>
      <w:tcPr>
        <w:shd w:val="clear" w:color="ffffff" w:fill="c9211e" w:themeFill="accent6"/>
        <w:tcBorders/>
      </w:tcPr>
    </w:tblStylePr>
    <w:tblStylePr w:type="lastCol">
      <w:rPr>
        <w:sz w:val="22"/>
      </w:rPr>
      <w:pPr>
        <w:pBdr/>
        <w:spacing/>
        <w:ind/>
      </w:pPr>
      <w:tblPr>
        <w:tblBorders/>
      </w:tblPr>
      <w:tcPr>
        <w:shd w:val="clear" w:color="ffffff" w:fill="c9211e" w:themeFill="accent6"/>
        <w:tcBorders/>
      </w:tcPr>
    </w:tblStylePr>
    <w:tblStylePr w:type="lastRow">
      <w:rPr>
        <w:sz w:val="22"/>
      </w:rPr>
      <w:pPr>
        <w:pBdr/>
        <w:spacing/>
        <w:ind/>
      </w:pPr>
      <w:tblPr>
        <w:tblBorders/>
      </w:tblPr>
      <w:tcPr>
        <w:shd w:val="clear" w:color="ffffff" w:fill="c9211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5">
    <w:name w:val="Bordered"/>
    <w:basedOn w:val="1715"/>
    <w:uiPriority w:val="99"/>
    <w:pPr>
      <w:pBdr/>
      <w:spacing w:after="0" w:line="240" w:lineRule="auto"/>
      <w:ind/>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text1" w:sz="12" w:space="0"/>
        </w:tcBorders>
      </w:tcPr>
    </w:tblStylePr>
    <w:tblStylePr w:type="lastCol">
      <w:rPr>
        <w:sz w:val="22"/>
      </w:rPr>
      <w:pPr>
        <w:pBdr/>
        <w:spacing/>
        <w:ind/>
      </w:pPr>
      <w:tblPr>
        <w:tblBorders/>
      </w:tblPr>
      <w:tcPr>
        <w:tcBorders>
          <w:left w:val="single" w:color="000000" w:themeColor="text1" w:sz="12" w:space="0"/>
        </w:tcBorders>
      </w:tcPr>
    </w:tblStylePr>
    <w:tblStylePr w:type="lastRow">
      <w:rPr>
        <w:sz w:val="22"/>
      </w:rPr>
      <w:pPr>
        <w:pBdr/>
        <w:spacing/>
        <w:ind/>
      </w:pPr>
      <w:tblPr>
        <w:tblBorders/>
      </w:tblPr>
      <w:tcPr>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6">
    <w:name w:val="Bordered - Accent 1"/>
    <w:basedOn w:val="1715"/>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1" w:sz="12" w:space="0"/>
        </w:tcBorders>
      </w:tcPr>
    </w:tblStylePr>
    <w:tblStylePr w:type="lastCol">
      <w:rPr>
        <w:sz w:val="22"/>
      </w:rPr>
      <w:pPr>
        <w:pBdr/>
        <w:spacing/>
        <w:ind/>
      </w:pPr>
      <w:tblPr>
        <w:tblBorders/>
      </w:tblPr>
      <w:tcPr>
        <w:tcBorders>
          <w:left w:val="single" w:color="000000" w:themeColor="accent1" w:sz="12" w:space="0"/>
        </w:tcBorders>
      </w:tcPr>
    </w:tblStylePr>
    <w:tblStylePr w:type="lastRow">
      <w:rPr>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7">
    <w:name w:val="Bordered - Accent 2"/>
    <w:basedOn w:val="1715"/>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2" w:sz="12" w:space="0"/>
        </w:tcBorders>
      </w:tcPr>
    </w:tblStylePr>
    <w:tblStylePr w:type="lastCol">
      <w:rPr>
        <w:sz w:val="22"/>
      </w:rPr>
      <w:pPr>
        <w:pBdr/>
        <w:spacing/>
        <w:ind/>
      </w:pPr>
      <w:tblPr>
        <w:tblBorders/>
      </w:tblPr>
      <w:tcPr>
        <w:tcBorders>
          <w:left w:val="single" w:color="000000" w:themeColor="accent2" w:sz="12" w:space="0"/>
        </w:tcBorders>
      </w:tcPr>
    </w:tblStylePr>
    <w:tblStylePr w:type="lastRow">
      <w:rPr>
        <w:sz w:val="22"/>
      </w:rPr>
      <w:pPr>
        <w:pBdr/>
        <w:spacing/>
        <w:ind/>
      </w:pPr>
      <w:tblPr>
        <w:tblBorders/>
      </w:tblPr>
      <w:tcPr>
        <w:tcBorders>
          <w:top w:val="single" w:color="000000"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8">
    <w:name w:val="Bordered - Accent 3"/>
    <w:basedOn w:val="1715"/>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3" w:sz="12" w:space="0"/>
        </w:tcBorders>
      </w:tcPr>
    </w:tblStylePr>
    <w:tblStylePr w:type="lastCol">
      <w:rPr>
        <w:sz w:val="22"/>
      </w:rPr>
      <w:pPr>
        <w:pBdr/>
        <w:spacing/>
        <w:ind/>
      </w:pPr>
      <w:tblPr>
        <w:tblBorders/>
      </w:tblPr>
      <w:tcPr>
        <w:tcBorders>
          <w:left w:val="single" w:color="000000" w:themeColor="accent3" w:sz="12" w:space="0"/>
        </w:tcBorders>
      </w:tcPr>
    </w:tblStylePr>
    <w:tblStylePr w:type="lastRow">
      <w:rPr>
        <w:sz w:val="22"/>
      </w:rPr>
      <w:pPr>
        <w:pBdr/>
        <w:spacing/>
        <w:ind/>
      </w:pPr>
      <w:tblPr>
        <w:tblBorders/>
      </w:tblPr>
      <w:tcPr>
        <w:tcBorders>
          <w:top w:val="single" w:color="000000"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9">
    <w:name w:val="Bordered - Accent 4"/>
    <w:basedOn w:val="1715"/>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4" w:sz="12" w:space="0"/>
        </w:tcBorders>
      </w:tcPr>
    </w:tblStylePr>
    <w:tblStylePr w:type="lastCol">
      <w:rPr>
        <w:sz w:val="22"/>
      </w:rPr>
      <w:pPr>
        <w:pBdr/>
        <w:spacing/>
        <w:ind/>
      </w:pPr>
      <w:tblPr>
        <w:tblBorders/>
      </w:tblPr>
      <w:tcPr>
        <w:tcBorders>
          <w:left w:val="single" w:color="000000" w:themeColor="accent4" w:sz="12" w:space="0"/>
        </w:tcBorders>
      </w:tcPr>
    </w:tblStylePr>
    <w:tblStylePr w:type="lastRow">
      <w:rPr>
        <w:sz w:val="22"/>
      </w:rPr>
      <w:pPr>
        <w:pBdr/>
        <w:spacing/>
        <w:ind/>
      </w:pPr>
      <w:tblPr>
        <w:tblBorders/>
      </w:tblPr>
      <w:tcPr>
        <w:tcBorders>
          <w:top w:val="single" w:color="000000"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0">
    <w:name w:val="Bordered - Accent 5"/>
    <w:basedOn w:val="1715"/>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5" w:sz="12" w:space="0"/>
        </w:tcBorders>
      </w:tcPr>
    </w:tblStylePr>
    <w:tblStylePr w:type="lastCol">
      <w:rPr>
        <w:sz w:val="22"/>
      </w:rPr>
      <w:pPr>
        <w:pBdr/>
        <w:spacing/>
        <w:ind/>
      </w:pPr>
      <w:tblPr>
        <w:tblBorders/>
      </w:tblPr>
      <w:tcPr>
        <w:tcBorders>
          <w:left w:val="single" w:color="000000" w:themeColor="accent5" w:sz="12" w:space="0"/>
        </w:tcBorders>
      </w:tcPr>
    </w:tblStylePr>
    <w:tblStylePr w:type="lastRow">
      <w:rPr>
        <w:sz w:val="22"/>
      </w:rPr>
      <w:pPr>
        <w:pBdr/>
        <w:spacing/>
        <w:ind/>
      </w:pPr>
      <w:tblPr>
        <w:tblBorders/>
      </w:tblPr>
      <w:tcPr>
        <w:tcBorders>
          <w:top w:val="single" w:color="000000"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1">
    <w:name w:val="Bordered - Accent 6"/>
    <w:basedOn w:val="1715"/>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6" w:sz="12" w:space="0"/>
        </w:tcBorders>
      </w:tcPr>
    </w:tblStylePr>
    <w:tblStylePr w:type="lastCol">
      <w:rPr>
        <w:sz w:val="22"/>
      </w:rPr>
      <w:pPr>
        <w:pBdr/>
        <w:spacing/>
        <w:ind/>
      </w:pPr>
      <w:tblPr>
        <w:tblBorders/>
      </w:tblPr>
      <w:tcPr>
        <w:tcBorders>
          <w:left w:val="single" w:color="000000" w:themeColor="accent6" w:sz="12" w:space="0"/>
        </w:tcBorders>
      </w:tcPr>
    </w:tblStylePr>
    <w:tblStylePr w:type="lastRow">
      <w:rPr>
        <w:sz w:val="22"/>
      </w:rPr>
      <w:pPr>
        <w:pBdr/>
        <w:spacing/>
        <w:ind/>
      </w:pPr>
      <w:tblPr>
        <w:tblBorders/>
      </w:tblPr>
      <w:tcPr>
        <w:tcBorders>
          <w:top w:val="single" w:color="000000"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icipr.international/" TargetMode="External"/><Relationship Id="rId3" Type="http://schemas.openxmlformats.org/officeDocument/2006/relationships/hyperlink" Target="mailto:icipr.info@gmail.com" TargetMode="External"/><Relationship Id="rId4" Type="http://schemas.openxmlformats.org/officeDocument/2006/relationships/image" Target="media/image2.jpg"/><Relationship Id="rId5" Type="http://schemas.openxmlformats.org/officeDocument/2006/relationships/hyperlink" Target="https://www.adcmemorial.org/" TargetMode="External"/><Relationship Id="rId6" Type="http://schemas.openxmlformats.org/officeDocument/2006/relationships/hyperlink" Target="mailto:info@adcmemorial.org" TargetMode="External"/><Relationship Id="rId7" Type="http://schemas.openxmlformats.org/officeDocument/2006/relationships/image" Target="media/image3.png"/><Relationship Id="rId8" Type="http://schemas.openxmlformats.org/officeDocument/2006/relationships/image" Target="media/media1.svg"/><Relationship Id="rId9" Type="http://schemas.openxmlformats.org/officeDocument/2006/relationships/hyperlink" Target="mailto:infoe@infoe.de" TargetMode="External"/><Relationship Id="rId10" Type="http://schemas.openxmlformats.org/officeDocument/2006/relationships/image" Target="media/image4.png"/><Relationship Id="rId11" Type="http://schemas.openxmlformats.org/officeDocument/2006/relationships/hyperlink" Target="http://NORTHWOMEN@proton.me" TargetMode="External"/></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icipr.international/" TargetMode="External"/><Relationship Id="rId2" Type="http://schemas.openxmlformats.org/officeDocument/2006/relationships/hyperlink" Target="https://www.infoe.de/" TargetMode="External"/><Relationship Id="rId3" Type="http://schemas.openxmlformats.org/officeDocument/2006/relationships/hyperlink" Target="https://adcmemorial.org/en/" TargetMode="External"/><Relationship Id="rId4" Type="http://schemas.openxmlformats.org/officeDocument/2006/relationships/hyperlink" Target="https://base.garant.ru/181870/" TargetMode="External"/><Relationship Id="rId5" Type="http://schemas.openxmlformats.org/officeDocument/2006/relationships/hyperlink" Target="https://docs.un.org/A/HRC/42/30" TargetMode="External"/><Relationship Id="rId6" Type="http://schemas.openxmlformats.org/officeDocument/2006/relationships/hyperlink" Target="https://srdefenders.org/russia-intimidation-of-ms-yana-tannagasheva-at-un-human-rights-council-joint-communication/" TargetMode="External"/><Relationship Id="rId7" Type="http://schemas.openxmlformats.org/officeDocument/2006/relationships/hyperlink" Target="https://www.themoscowtimes.com/2024/11/22/russia-labels-172-Indigenous-groups-as-terrorist-organizations-a87106" TargetMode="External"/><Relationship Id="rId8" Type="http://schemas.openxmlformats.org/officeDocument/2006/relationships/hyperlink" Target="http://www.fsb.ru/fsb/npd/terror.htm" TargetMode="External"/><Relationship Id="rId9" Type="http://schemas.openxmlformats.org/officeDocument/2006/relationships/hyperlink" Target="https://www.pnp.ru/social/korennym-malochislennym-narodam-predlozhili-dat-pravo-na-otsrochku-ot-armii.html" TargetMode="External"/><Relationship Id="rId10" Type="http://schemas.openxmlformats.org/officeDocument/2006/relationships/hyperlink" Target="https://www.amnesty.org/en/latest/campaigns/2025/04/meet-three-female-indigenous-anti-war-activists-from-russia/" TargetMode="External"/><Relationship Id="rId11" Type="http://schemas.openxmlformats.org/officeDocument/2006/relationships/hyperlink" Target="https://www.svoboda.org/a/grobovye-vmesto-oleney-ischezayuschaya-zhiznj-na-arkticheskom-ostrove-kolguev/33843170.html" TargetMode="External"/></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Application>euro-office/2.5.565.0</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de-DE</dc:language>
  <cp:lastModifiedBy>Аноним</cp:lastModifiedBy>
  <cp:revision>72</cp:revision>
  <dcterms:created xsi:type="dcterms:W3CDTF">2026-08-27T11:47:10Z</dcterms:created>
  <dcterms:modified xsi:type="dcterms:W3CDTF">2026-09-10T07:43:47Z</dcterms:modified>
</cp:coreProperties>
</file>